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A668" w14:textId="22B2A73C" w:rsidR="00242D21" w:rsidRPr="00DD568D" w:rsidRDefault="00242D21" w:rsidP="00242D21">
      <w:pPr>
        <w:rPr>
          <w:color w:val="000000"/>
          <w:sz w:val="20"/>
          <w:szCs w:val="20"/>
        </w:rPr>
      </w:pPr>
      <w:r w:rsidRPr="00DD568D">
        <w:rPr>
          <w:rFonts w:hint="eastAsia"/>
          <w:color w:val="000000"/>
          <w:sz w:val="20"/>
          <w:szCs w:val="20"/>
        </w:rPr>
        <w:t xml:space="preserve">製剤別　</w:t>
      </w:r>
      <w:r w:rsidR="004E16D0" w:rsidRPr="00DD568D">
        <w:rPr>
          <w:rFonts w:hint="eastAsia"/>
          <w:color w:val="000000"/>
          <w:sz w:val="20"/>
          <w:szCs w:val="20"/>
        </w:rPr>
        <w:t>後発品</w:t>
      </w:r>
      <w:r w:rsidRPr="00DD568D">
        <w:rPr>
          <w:rFonts w:hint="eastAsia"/>
          <w:color w:val="000000"/>
          <w:sz w:val="20"/>
          <w:szCs w:val="20"/>
        </w:rPr>
        <w:t>データ</w:t>
      </w:r>
      <w:r w:rsidR="004E16D0" w:rsidRPr="00DD568D">
        <w:rPr>
          <w:rFonts w:hint="eastAsia"/>
          <w:color w:val="000000"/>
          <w:sz w:val="20"/>
          <w:szCs w:val="20"/>
        </w:rPr>
        <w:t>（案）</w:t>
      </w:r>
      <w:r w:rsidR="00E07499" w:rsidRPr="00DD568D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="00454DB1" w:rsidRPr="00DD568D">
        <w:rPr>
          <w:rFonts w:hint="eastAsia"/>
          <w:color w:val="000000"/>
          <w:sz w:val="20"/>
          <w:szCs w:val="20"/>
        </w:rPr>
        <w:t xml:space="preserve">　</w:t>
      </w:r>
      <w:r w:rsidR="00DD568D" w:rsidRPr="00DD568D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4369"/>
        <w:gridCol w:w="4368"/>
      </w:tblGrid>
      <w:tr w:rsidR="00242D21" w:rsidRPr="00DD568D" w14:paraId="60AC6FE8" w14:textId="77777777" w:rsidTr="007156E0">
        <w:trPr>
          <w:trHeight w:val="340"/>
        </w:trPr>
        <w:tc>
          <w:tcPr>
            <w:tcW w:w="1719" w:type="dxa"/>
            <w:shd w:val="clear" w:color="auto" w:fill="auto"/>
            <w:vAlign w:val="center"/>
          </w:tcPr>
          <w:p w14:paraId="2F86DE37" w14:textId="77777777" w:rsidR="00242D21" w:rsidRPr="00DD568D" w:rsidRDefault="00242D21" w:rsidP="00CE2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6407B62D" w14:textId="77777777" w:rsidR="00242D21" w:rsidRPr="00DD568D" w:rsidRDefault="00242D21" w:rsidP="00CE2F19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6E4C028" w14:textId="77777777" w:rsidR="00242D21" w:rsidRPr="00DD568D" w:rsidRDefault="004E16D0" w:rsidP="00CE2F19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DD568D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D0577D" w:rsidRPr="00DD568D" w14:paraId="26A4A200" w14:textId="77777777" w:rsidTr="007156E0">
        <w:trPr>
          <w:trHeight w:val="340"/>
        </w:trPr>
        <w:tc>
          <w:tcPr>
            <w:tcW w:w="1719" w:type="dxa"/>
            <w:shd w:val="clear" w:color="auto" w:fill="auto"/>
            <w:vAlign w:val="center"/>
          </w:tcPr>
          <w:p w14:paraId="524E0C05" w14:textId="77777777" w:rsidR="00D0577D" w:rsidRPr="00DD568D" w:rsidRDefault="00D0577D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72FF582" w14:textId="77777777" w:rsidR="00D0577D" w:rsidRPr="00DD568D" w:rsidRDefault="006600F7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2B77DD" w:rsidRPr="00DD568D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5EA3FF7" w14:textId="3BE1945B" w:rsidR="00D0577D" w:rsidRPr="00DD568D" w:rsidRDefault="00D0577D" w:rsidP="000A2A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0577D" w:rsidRPr="00DD568D" w14:paraId="338ED258" w14:textId="77777777" w:rsidTr="007156E0">
        <w:tc>
          <w:tcPr>
            <w:tcW w:w="1719" w:type="dxa"/>
            <w:shd w:val="clear" w:color="auto" w:fill="auto"/>
            <w:vAlign w:val="center"/>
          </w:tcPr>
          <w:p w14:paraId="14E7A77B" w14:textId="77777777" w:rsidR="00D0577D" w:rsidRPr="00DD568D" w:rsidRDefault="00D0577D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610C61E" w14:textId="77777777" w:rsidR="00E06C55" w:rsidRPr="00DD568D" w:rsidRDefault="00E06C55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ポリスチレンスルホン酸Ca経口ゼリー</w:t>
            </w:r>
          </w:p>
          <w:p w14:paraId="1C8D3BBA" w14:textId="77777777" w:rsidR="00D0577D" w:rsidRPr="00DD568D" w:rsidRDefault="00E06C55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20%分包25g「三和」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71390557" w14:textId="580530F0" w:rsidR="00D0577D" w:rsidRPr="00DD568D" w:rsidRDefault="00D0577D" w:rsidP="008153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6E0" w:rsidRPr="00DD568D" w14:paraId="74F7CA66" w14:textId="77777777" w:rsidTr="007156E0">
        <w:trPr>
          <w:trHeight w:val="340"/>
        </w:trPr>
        <w:tc>
          <w:tcPr>
            <w:tcW w:w="1719" w:type="dxa"/>
            <w:shd w:val="clear" w:color="auto" w:fill="auto"/>
            <w:vAlign w:val="center"/>
          </w:tcPr>
          <w:p w14:paraId="092837A3" w14:textId="77777777" w:rsidR="007156E0" w:rsidRPr="00DD568D" w:rsidRDefault="007156E0" w:rsidP="007156E0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66EB2E7F" w14:textId="2458B013" w:rsidR="007156E0" w:rsidRPr="00DD568D" w:rsidRDefault="00DD568D" w:rsidP="007156E0">
            <w:pPr>
              <w:autoSpaceDE w:val="0"/>
              <w:autoSpaceDN w:val="0"/>
              <w:adjustRightInd w:val="0"/>
              <w:jc w:val="center"/>
              <w:rPr>
                <w:rFonts w:hAnsi="ＭＳ ゴシック" w:cs="ArialMT"/>
                <w:color w:val="000000"/>
                <w:kern w:val="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20%25g1個：77.80円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763A682" w14:textId="09AABF02" w:rsidR="007156E0" w:rsidRPr="00DD568D" w:rsidRDefault="00DD568D" w:rsidP="007156E0">
            <w:pPr>
              <w:autoSpaceDE w:val="0"/>
              <w:autoSpaceDN w:val="0"/>
              <w:adjustRightInd w:val="0"/>
              <w:jc w:val="center"/>
              <w:rPr>
                <w:rFonts w:hAnsi="ＭＳ ゴシック" w:cs="ArialMT"/>
                <w:color w:val="000000"/>
                <w:kern w:val="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1g：8.10円</w:t>
            </w:r>
          </w:p>
        </w:tc>
      </w:tr>
      <w:tr w:rsidR="00D0577D" w:rsidRPr="00DD568D" w14:paraId="0CEF0D42" w14:textId="77777777" w:rsidTr="007156E0">
        <w:trPr>
          <w:trHeight w:val="340"/>
        </w:trPr>
        <w:tc>
          <w:tcPr>
            <w:tcW w:w="1719" w:type="dxa"/>
            <w:shd w:val="clear" w:color="auto" w:fill="auto"/>
            <w:vAlign w:val="center"/>
          </w:tcPr>
          <w:p w14:paraId="611CB0F3" w14:textId="77777777" w:rsidR="00D0577D" w:rsidRPr="00DD568D" w:rsidRDefault="00D0577D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7" w:type="dxa"/>
            <w:gridSpan w:val="2"/>
            <w:shd w:val="clear" w:color="auto" w:fill="auto"/>
            <w:vAlign w:val="center"/>
          </w:tcPr>
          <w:p w14:paraId="24BD4AE6" w14:textId="77777777" w:rsidR="00D0577D" w:rsidRPr="00DD568D" w:rsidRDefault="0036618A" w:rsidP="00815333">
            <w:pPr>
              <w:rPr>
                <w:color w:val="00000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ポリスチレンスルホン酸カルシウム</w:t>
            </w:r>
          </w:p>
        </w:tc>
      </w:tr>
      <w:tr w:rsidR="00F2137B" w:rsidRPr="00DD568D" w14:paraId="569EB056" w14:textId="77777777" w:rsidTr="007156E0">
        <w:tc>
          <w:tcPr>
            <w:tcW w:w="1719" w:type="dxa"/>
            <w:shd w:val="clear" w:color="auto" w:fill="auto"/>
          </w:tcPr>
          <w:p w14:paraId="49DC5D31" w14:textId="77777777" w:rsidR="00F2137B" w:rsidRPr="00DD568D" w:rsidRDefault="00F2137B" w:rsidP="004E6B90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369" w:type="dxa"/>
            <w:shd w:val="clear" w:color="auto" w:fill="auto"/>
          </w:tcPr>
          <w:p w14:paraId="25EFEDD4" w14:textId="77777777" w:rsidR="00F2137B" w:rsidRPr="00DD568D" w:rsidRDefault="0036618A" w:rsidP="006D4694">
            <w:pPr>
              <w:rPr>
                <w:color w:val="00000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1個（25g）中「日局」ポリスチレンスルホン酸カルシウム5g</w:t>
            </w:r>
          </w:p>
        </w:tc>
        <w:tc>
          <w:tcPr>
            <w:tcW w:w="4368" w:type="dxa"/>
            <w:shd w:val="clear" w:color="auto" w:fill="auto"/>
          </w:tcPr>
          <w:p w14:paraId="0083AD5E" w14:textId="77777777" w:rsidR="00F2137B" w:rsidRPr="00DD568D" w:rsidRDefault="0036618A" w:rsidP="00EF58CB">
            <w:pPr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03F72" w:rsidRPr="00DD568D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DD568D">
              <w:rPr>
                <w:color w:val="000000"/>
                <w:sz w:val="20"/>
                <w:szCs w:val="20"/>
              </w:rPr>
              <w:t>中</w:t>
            </w:r>
            <w:r w:rsidR="00587ABA" w:rsidRPr="00DD568D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Pr="00DD568D">
              <w:rPr>
                <w:color w:val="000000"/>
                <w:sz w:val="20"/>
                <w:szCs w:val="20"/>
              </w:rPr>
              <w:t>ポリスチレンスルホン酸カルシウム</w:t>
            </w:r>
            <w:r w:rsidRPr="00DD568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03F72" w:rsidRPr="00DD568D">
              <w:rPr>
                <w:rFonts w:hint="eastAsia"/>
                <w:color w:val="000000"/>
                <w:sz w:val="20"/>
                <w:szCs w:val="20"/>
              </w:rPr>
              <w:t>g</w:t>
            </w:r>
          </w:p>
        </w:tc>
      </w:tr>
      <w:tr w:rsidR="00587ABA" w:rsidRPr="00DD568D" w14:paraId="7454B11E" w14:textId="77777777" w:rsidTr="007156E0">
        <w:trPr>
          <w:trHeight w:val="340"/>
        </w:trPr>
        <w:tc>
          <w:tcPr>
            <w:tcW w:w="1719" w:type="dxa"/>
            <w:shd w:val="clear" w:color="auto" w:fill="auto"/>
            <w:vAlign w:val="center"/>
          </w:tcPr>
          <w:p w14:paraId="20DFAE22" w14:textId="77777777" w:rsidR="00587ABA" w:rsidRPr="00DD568D" w:rsidRDefault="00587ABA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402819F4" w14:textId="77777777" w:rsidR="00587ABA" w:rsidRPr="00DD568D" w:rsidRDefault="00587ABA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高カリウム血症改善剤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D788A0B" w14:textId="77777777" w:rsidR="00587ABA" w:rsidRPr="00DD568D" w:rsidRDefault="00587ABA" w:rsidP="00815333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血清</w:t>
            </w:r>
            <w:r w:rsidRPr="00DD568D">
              <w:rPr>
                <w:color w:val="000000"/>
                <w:sz w:val="20"/>
                <w:szCs w:val="20"/>
              </w:rPr>
              <w:t>カリウム</w:t>
            </w:r>
            <w:r w:rsidRPr="00DD568D">
              <w:rPr>
                <w:rFonts w:hint="eastAsia"/>
                <w:color w:val="000000"/>
                <w:sz w:val="20"/>
                <w:szCs w:val="20"/>
              </w:rPr>
              <w:t>抑制</w:t>
            </w:r>
            <w:r w:rsidRPr="00DD568D">
              <w:rPr>
                <w:color w:val="000000"/>
                <w:sz w:val="20"/>
                <w:szCs w:val="20"/>
              </w:rPr>
              <w:t>剤</w:t>
            </w:r>
          </w:p>
        </w:tc>
      </w:tr>
      <w:tr w:rsidR="00D0577D" w:rsidRPr="00DD568D" w14:paraId="467B3DF6" w14:textId="77777777" w:rsidTr="007156E0">
        <w:trPr>
          <w:trHeight w:val="340"/>
        </w:trPr>
        <w:tc>
          <w:tcPr>
            <w:tcW w:w="1719" w:type="dxa"/>
            <w:shd w:val="clear" w:color="auto" w:fill="auto"/>
            <w:vAlign w:val="center"/>
          </w:tcPr>
          <w:p w14:paraId="701BC607" w14:textId="77777777" w:rsidR="00D0577D" w:rsidRPr="00DD568D" w:rsidRDefault="00D0577D" w:rsidP="00CE2F19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AA48A2" w:rsidRPr="00DD568D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DD568D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7" w:type="dxa"/>
            <w:gridSpan w:val="2"/>
            <w:shd w:val="clear" w:color="auto" w:fill="auto"/>
            <w:vAlign w:val="center"/>
          </w:tcPr>
          <w:p w14:paraId="7488FDBD" w14:textId="77777777" w:rsidR="00D0577D" w:rsidRPr="00DD568D" w:rsidRDefault="0036618A" w:rsidP="00CE2F19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D568D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急性および慢性腎不全に伴う高カリウム血症</w:t>
            </w:r>
            <w:bookmarkStart w:id="0" w:name="70"/>
            <w:bookmarkEnd w:id="0"/>
            <w:r w:rsidRPr="00DD568D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D2040" w:rsidRPr="00DD568D" w14:paraId="7F32FCEA" w14:textId="77777777" w:rsidTr="007156E0">
        <w:tc>
          <w:tcPr>
            <w:tcW w:w="1719" w:type="dxa"/>
            <w:shd w:val="clear" w:color="auto" w:fill="auto"/>
          </w:tcPr>
          <w:p w14:paraId="0104DB6A" w14:textId="77777777" w:rsidR="006D2040" w:rsidRPr="00DD568D" w:rsidRDefault="006D2040" w:rsidP="004E6B90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AA48A2" w:rsidRPr="00DD568D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DD568D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4369" w:type="dxa"/>
            <w:shd w:val="clear" w:color="auto" w:fill="auto"/>
          </w:tcPr>
          <w:p w14:paraId="32622B34" w14:textId="77777777" w:rsidR="006D2040" w:rsidRPr="00DD568D" w:rsidRDefault="0036618A" w:rsidP="0057099E">
            <w:pPr>
              <w:rPr>
                <w:color w:val="000000"/>
                <w:sz w:val="20"/>
                <w:szCs w:val="20"/>
              </w:rPr>
            </w:pPr>
            <w:r w:rsidRPr="00DD568D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通常成人1日75～150g（ポリスチレンスルホン酸カルシウムとして15～30g）を2～3回にわけ、経口投与する。なお、症状により適宜増減する。</w:t>
            </w:r>
          </w:p>
        </w:tc>
        <w:tc>
          <w:tcPr>
            <w:tcW w:w="4368" w:type="dxa"/>
            <w:shd w:val="clear" w:color="auto" w:fill="auto"/>
          </w:tcPr>
          <w:p w14:paraId="3305B11C" w14:textId="77777777" w:rsidR="006D2040" w:rsidRDefault="006D2040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679E44F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E2A1DD3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63EE4C4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FB87A53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FF7C0ED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AED7C57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0B0F0DD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A15C0C5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EBEFB53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927A03A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4850C49" w14:textId="77777777" w:rsidR="00E404B1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F363F9C" w14:textId="703AA2D1" w:rsidR="00E404B1" w:rsidRPr="00DD568D" w:rsidRDefault="00E404B1" w:rsidP="008A282C">
            <w:pPr>
              <w:widowControl/>
              <w:ind w:leftChars="100" w:left="210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42D21" w:rsidRPr="00DD568D" w14:paraId="6EC79006" w14:textId="77777777" w:rsidTr="007156E0">
        <w:tc>
          <w:tcPr>
            <w:tcW w:w="1719" w:type="dxa"/>
            <w:shd w:val="clear" w:color="auto" w:fill="auto"/>
          </w:tcPr>
          <w:p w14:paraId="621D9484" w14:textId="77777777" w:rsidR="00242D21" w:rsidRPr="00DD568D" w:rsidRDefault="00242D21" w:rsidP="004E6B90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AA48A2" w:rsidRPr="00DD568D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23D7815E" w14:textId="77777777" w:rsidR="00242D21" w:rsidRPr="00DD568D" w:rsidRDefault="0036618A" w:rsidP="00815333">
            <w:pPr>
              <w:rPr>
                <w:color w:val="00000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還元麦芽糖水アメ、クエン酸Na</w:t>
            </w:r>
            <w:r w:rsidR="00D66104" w:rsidRPr="00DD568D">
              <w:rPr>
                <w:rFonts w:hint="eastAsia"/>
                <w:color w:val="000000"/>
                <w:sz w:val="20"/>
                <w:szCs w:val="20"/>
              </w:rPr>
              <w:t>水和物</w:t>
            </w:r>
            <w:r w:rsidRPr="00DD568D">
              <w:rPr>
                <w:color w:val="000000"/>
                <w:sz w:val="20"/>
                <w:szCs w:val="20"/>
              </w:rPr>
              <w:t>、ゼラチン、カンテン、ペクチン、カラギーナン</w:t>
            </w:r>
          </w:p>
        </w:tc>
        <w:tc>
          <w:tcPr>
            <w:tcW w:w="4368" w:type="dxa"/>
            <w:shd w:val="clear" w:color="auto" w:fill="auto"/>
          </w:tcPr>
          <w:p w14:paraId="1D8ABED4" w14:textId="77777777" w:rsidR="00242D21" w:rsidRPr="00DD568D" w:rsidRDefault="00242D21" w:rsidP="007F731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C33543" w:rsidRPr="00DD568D" w14:paraId="005429A8" w14:textId="77777777" w:rsidTr="007156E0">
        <w:tc>
          <w:tcPr>
            <w:tcW w:w="1719" w:type="dxa"/>
            <w:shd w:val="clear" w:color="auto" w:fill="auto"/>
          </w:tcPr>
          <w:p w14:paraId="78ED1B2E" w14:textId="77777777" w:rsidR="00C33543" w:rsidRPr="00DD568D" w:rsidRDefault="00C33543" w:rsidP="004E6B90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4369" w:type="dxa"/>
            <w:shd w:val="clear" w:color="auto" w:fill="auto"/>
          </w:tcPr>
          <w:p w14:paraId="3B38AE38" w14:textId="77777777" w:rsidR="00C33543" w:rsidRPr="00DD568D" w:rsidRDefault="0036618A" w:rsidP="003B7281">
            <w:pPr>
              <w:rPr>
                <w:color w:val="00000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淡黄白色～淡黄色のゼリー様で、においはないか又はわずかに特異なにおいがあり、味は甘い。</w:t>
            </w:r>
          </w:p>
        </w:tc>
        <w:tc>
          <w:tcPr>
            <w:tcW w:w="4368" w:type="dxa"/>
            <w:shd w:val="clear" w:color="auto" w:fill="auto"/>
          </w:tcPr>
          <w:p w14:paraId="42DF01C8" w14:textId="77777777" w:rsidR="00B313BD" w:rsidRPr="00DD568D" w:rsidRDefault="00B313BD" w:rsidP="00E404B1">
            <w:pPr>
              <w:widowControl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587ABA" w:rsidRPr="00DD568D" w14:paraId="0BDB1AAC" w14:textId="77777777" w:rsidTr="007156E0">
        <w:trPr>
          <w:trHeight w:val="4030"/>
        </w:trPr>
        <w:tc>
          <w:tcPr>
            <w:tcW w:w="1719" w:type="dxa"/>
            <w:shd w:val="clear" w:color="auto" w:fill="auto"/>
          </w:tcPr>
          <w:p w14:paraId="37CEB6E6" w14:textId="77777777" w:rsidR="00587ABA" w:rsidRPr="00DD568D" w:rsidRDefault="00587ABA" w:rsidP="004E6B90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04B571F" w14:textId="77777777" w:rsidR="00587ABA" w:rsidRPr="00DD568D" w:rsidRDefault="00587ABA" w:rsidP="004E6B90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7" w:type="dxa"/>
            <w:gridSpan w:val="2"/>
            <w:shd w:val="clear" w:color="auto" w:fill="auto"/>
          </w:tcPr>
          <w:p w14:paraId="3559FFA7" w14:textId="77777777" w:rsidR="00587ABA" w:rsidRPr="00DD568D" w:rsidRDefault="00E06C55" w:rsidP="004E6B90">
            <w:pPr>
              <w:autoSpaceDE w:val="0"/>
              <w:autoSpaceDN w:val="0"/>
              <w:adjustRightInd w:val="0"/>
              <w:jc w:val="left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DD568D">
              <w:rPr>
                <w:color w:val="000000"/>
                <w:sz w:val="20"/>
                <w:szCs w:val="20"/>
              </w:rPr>
              <w:t>ポリスチレンスルホン酸Ca経口ゼリー20%分包25g「三和」</w:t>
            </w:r>
            <w:r w:rsidR="00587ABA"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は</w:t>
            </w:r>
            <w:r w:rsidR="00587ABA" w:rsidRPr="00DD568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品質再評価対象外</w:t>
            </w:r>
            <w:r w:rsidR="00587ABA"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である。</w:t>
            </w:r>
          </w:p>
          <w:p w14:paraId="58B176C5" w14:textId="77777777" w:rsidR="00587ABA" w:rsidRPr="00DD568D" w:rsidRDefault="00587ABA" w:rsidP="004E6B90">
            <w:pPr>
              <w:autoSpaceDE w:val="0"/>
              <w:autoSpaceDN w:val="0"/>
              <w:adjustRightInd w:val="0"/>
              <w:jc w:val="left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DD568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動物</w:t>
            </w:r>
            <w:r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における</w:t>
            </w:r>
            <w:r w:rsidRPr="00DD568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生物学的同等性試験</w:t>
            </w:r>
            <w:r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において、</w:t>
            </w:r>
            <w:r w:rsidRPr="00DD568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標準品</w:t>
            </w:r>
            <w:r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DD568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薬力学的効果</w:t>
            </w:r>
            <w:r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が</w:t>
            </w:r>
            <w:r w:rsidRPr="00DD568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同等</w:t>
            </w:r>
            <w:r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DD568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確認</w:t>
            </w:r>
            <w:r w:rsidRPr="00DD568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された。［社内資料（申請データ）］</w:t>
            </w:r>
          </w:p>
          <w:p w14:paraId="2B2639E3" w14:textId="77777777" w:rsidR="00587ABA" w:rsidRPr="00DD568D" w:rsidRDefault="00587ABA" w:rsidP="004E6B90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薬効比較試験(ラット、</w:t>
            </w:r>
            <w:r w:rsidRPr="00DD568D">
              <w:rPr>
                <w:rFonts w:hint="eastAsia"/>
                <w:i/>
                <w:color w:val="000000"/>
                <w:sz w:val="20"/>
                <w:szCs w:val="20"/>
              </w:rPr>
              <w:t>in vitro</w:t>
            </w:r>
            <w:r w:rsidRPr="00DD568D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14:paraId="74877687" w14:textId="77777777" w:rsidR="00587ABA" w:rsidRPr="00DD568D" w:rsidRDefault="00E404B1" w:rsidP="008A282C">
            <w:pPr>
              <w:ind w:leftChars="-15" w:left="-31" w:rightChars="-15"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DDABA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8pt;height:154.8pt">
                  <v:imagedata r:id="rId7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6B3F895F">
                <v:shape id="_x0000_i1026" type="#_x0000_t75" style="width:207pt;height:156.6pt">
                  <v:imagedata r:id="rId8" o:title=""/>
                </v:shape>
              </w:pict>
            </w:r>
          </w:p>
        </w:tc>
      </w:tr>
      <w:tr w:rsidR="00C95362" w:rsidRPr="00DD568D" w14:paraId="1B51B99E" w14:textId="77777777" w:rsidTr="007156E0">
        <w:trPr>
          <w:trHeight w:val="454"/>
        </w:trPr>
        <w:tc>
          <w:tcPr>
            <w:tcW w:w="1719" w:type="dxa"/>
            <w:shd w:val="clear" w:color="auto" w:fill="auto"/>
            <w:vAlign w:val="center"/>
          </w:tcPr>
          <w:p w14:paraId="6F9AF540" w14:textId="77777777" w:rsidR="00C95362" w:rsidRPr="00DD568D" w:rsidRDefault="00C95362" w:rsidP="00CE2F19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7" w:type="dxa"/>
            <w:gridSpan w:val="2"/>
            <w:shd w:val="clear" w:color="auto" w:fill="auto"/>
            <w:vAlign w:val="center"/>
          </w:tcPr>
          <w:p w14:paraId="26BF7E01" w14:textId="77777777" w:rsidR="00815333" w:rsidRPr="00DD568D" w:rsidRDefault="00815333" w:rsidP="00CE2F19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C95362" w:rsidRPr="00DD568D" w14:paraId="6466188D" w14:textId="77777777" w:rsidTr="007156E0">
        <w:trPr>
          <w:trHeight w:val="454"/>
        </w:trPr>
        <w:tc>
          <w:tcPr>
            <w:tcW w:w="1719" w:type="dxa"/>
            <w:shd w:val="clear" w:color="auto" w:fill="auto"/>
            <w:vAlign w:val="center"/>
          </w:tcPr>
          <w:p w14:paraId="294AA04A" w14:textId="77777777" w:rsidR="00C95362" w:rsidRPr="00DD568D" w:rsidRDefault="00C95362" w:rsidP="00CE2F19">
            <w:pPr>
              <w:jc w:val="center"/>
              <w:rPr>
                <w:color w:val="000000"/>
                <w:sz w:val="20"/>
                <w:szCs w:val="20"/>
              </w:rPr>
            </w:pPr>
            <w:r w:rsidRPr="00DD568D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7" w:type="dxa"/>
            <w:gridSpan w:val="2"/>
            <w:shd w:val="clear" w:color="auto" w:fill="auto"/>
            <w:vAlign w:val="center"/>
          </w:tcPr>
          <w:p w14:paraId="2EF41212" w14:textId="77777777" w:rsidR="00587ABA" w:rsidRPr="00DD568D" w:rsidRDefault="00587ABA" w:rsidP="00CE2F1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BC8B529" w14:textId="77777777" w:rsidR="003759C2" w:rsidRPr="00DD568D" w:rsidRDefault="003759C2" w:rsidP="00CE2F19">
      <w:pPr>
        <w:spacing w:line="160" w:lineRule="exact"/>
        <w:rPr>
          <w:color w:val="000000"/>
        </w:rPr>
      </w:pPr>
    </w:p>
    <w:sectPr w:rsidR="003759C2" w:rsidRPr="00DD568D" w:rsidSect="00815333">
      <w:pgSz w:w="11906" w:h="16838" w:code="9"/>
      <w:pgMar w:top="1134" w:right="851" w:bottom="851" w:left="85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2174" w14:textId="77777777" w:rsidR="0013467D" w:rsidRDefault="0013467D" w:rsidP="0013467D">
      <w:r>
        <w:separator/>
      </w:r>
    </w:p>
  </w:endnote>
  <w:endnote w:type="continuationSeparator" w:id="0">
    <w:p w14:paraId="09CA782C" w14:textId="77777777" w:rsidR="0013467D" w:rsidRDefault="0013467D" w:rsidP="0013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0096" w14:textId="77777777" w:rsidR="0013467D" w:rsidRDefault="0013467D" w:rsidP="0013467D">
      <w:r>
        <w:separator/>
      </w:r>
    </w:p>
  </w:footnote>
  <w:footnote w:type="continuationSeparator" w:id="0">
    <w:p w14:paraId="49B8CC46" w14:textId="77777777" w:rsidR="0013467D" w:rsidRDefault="0013467D" w:rsidP="0013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2703202">
    <w:abstractNumId w:val="1"/>
  </w:num>
  <w:num w:numId="2" w16cid:durableId="859512128">
    <w:abstractNumId w:val="0"/>
  </w:num>
  <w:num w:numId="3" w16cid:durableId="1774547720">
    <w:abstractNumId w:val="2"/>
  </w:num>
  <w:num w:numId="4" w16cid:durableId="1078360512">
    <w:abstractNumId w:val="3"/>
  </w:num>
  <w:num w:numId="5" w16cid:durableId="13136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650"/>
    <w:rsid w:val="00006D33"/>
    <w:rsid w:val="00065285"/>
    <w:rsid w:val="000747A8"/>
    <w:rsid w:val="000A2A86"/>
    <w:rsid w:val="000A40BA"/>
    <w:rsid w:val="000D3791"/>
    <w:rsid w:val="001244FE"/>
    <w:rsid w:val="0013326B"/>
    <w:rsid w:val="0013467D"/>
    <w:rsid w:val="00164EB5"/>
    <w:rsid w:val="001A201B"/>
    <w:rsid w:val="001D2F41"/>
    <w:rsid w:val="001E7B72"/>
    <w:rsid w:val="002408C9"/>
    <w:rsid w:val="00242D21"/>
    <w:rsid w:val="00257228"/>
    <w:rsid w:val="00281D7C"/>
    <w:rsid w:val="002B77DD"/>
    <w:rsid w:val="002D71B7"/>
    <w:rsid w:val="00303F72"/>
    <w:rsid w:val="00323EA8"/>
    <w:rsid w:val="00345C48"/>
    <w:rsid w:val="003557D2"/>
    <w:rsid w:val="0036618A"/>
    <w:rsid w:val="003759C2"/>
    <w:rsid w:val="003B7281"/>
    <w:rsid w:val="003E6E56"/>
    <w:rsid w:val="003F25ED"/>
    <w:rsid w:val="00421EAF"/>
    <w:rsid w:val="00454DB1"/>
    <w:rsid w:val="00493D4C"/>
    <w:rsid w:val="004B3483"/>
    <w:rsid w:val="004D3CF1"/>
    <w:rsid w:val="004E16D0"/>
    <w:rsid w:val="004E5466"/>
    <w:rsid w:val="004E6B90"/>
    <w:rsid w:val="004F7F15"/>
    <w:rsid w:val="005176BA"/>
    <w:rsid w:val="005448ED"/>
    <w:rsid w:val="00560B32"/>
    <w:rsid w:val="0057099E"/>
    <w:rsid w:val="005734CE"/>
    <w:rsid w:val="00587ABA"/>
    <w:rsid w:val="005D3F72"/>
    <w:rsid w:val="005E362C"/>
    <w:rsid w:val="005F1F57"/>
    <w:rsid w:val="005F675E"/>
    <w:rsid w:val="006478C0"/>
    <w:rsid w:val="00652DCB"/>
    <w:rsid w:val="006600F7"/>
    <w:rsid w:val="0066023A"/>
    <w:rsid w:val="00680541"/>
    <w:rsid w:val="006B1B58"/>
    <w:rsid w:val="006D2040"/>
    <w:rsid w:val="006D4694"/>
    <w:rsid w:val="007156E0"/>
    <w:rsid w:val="00733E94"/>
    <w:rsid w:val="00746F8E"/>
    <w:rsid w:val="00761494"/>
    <w:rsid w:val="00774C1F"/>
    <w:rsid w:val="00784EED"/>
    <w:rsid w:val="00797E19"/>
    <w:rsid w:val="007B1B27"/>
    <w:rsid w:val="007E6667"/>
    <w:rsid w:val="007E7A97"/>
    <w:rsid w:val="007F731B"/>
    <w:rsid w:val="00815275"/>
    <w:rsid w:val="00815333"/>
    <w:rsid w:val="0082793A"/>
    <w:rsid w:val="008A282C"/>
    <w:rsid w:val="008D43C9"/>
    <w:rsid w:val="008D7323"/>
    <w:rsid w:val="00911406"/>
    <w:rsid w:val="0092139C"/>
    <w:rsid w:val="00932F8D"/>
    <w:rsid w:val="009563ED"/>
    <w:rsid w:val="00984B28"/>
    <w:rsid w:val="00994365"/>
    <w:rsid w:val="009A693B"/>
    <w:rsid w:val="009D0BBD"/>
    <w:rsid w:val="009E5DA6"/>
    <w:rsid w:val="00A102BF"/>
    <w:rsid w:val="00A5223C"/>
    <w:rsid w:val="00A819EB"/>
    <w:rsid w:val="00A85ABB"/>
    <w:rsid w:val="00A932EF"/>
    <w:rsid w:val="00AA47A8"/>
    <w:rsid w:val="00AA48A2"/>
    <w:rsid w:val="00B13198"/>
    <w:rsid w:val="00B15C74"/>
    <w:rsid w:val="00B2391D"/>
    <w:rsid w:val="00B313BD"/>
    <w:rsid w:val="00B55372"/>
    <w:rsid w:val="00B65E60"/>
    <w:rsid w:val="00B9415F"/>
    <w:rsid w:val="00BB6ED5"/>
    <w:rsid w:val="00BD042B"/>
    <w:rsid w:val="00BD2913"/>
    <w:rsid w:val="00C06615"/>
    <w:rsid w:val="00C22578"/>
    <w:rsid w:val="00C24625"/>
    <w:rsid w:val="00C33543"/>
    <w:rsid w:val="00C364A8"/>
    <w:rsid w:val="00C43702"/>
    <w:rsid w:val="00C4611D"/>
    <w:rsid w:val="00C52138"/>
    <w:rsid w:val="00C71F5B"/>
    <w:rsid w:val="00C91DAB"/>
    <w:rsid w:val="00C9206C"/>
    <w:rsid w:val="00C92304"/>
    <w:rsid w:val="00C95362"/>
    <w:rsid w:val="00CA1156"/>
    <w:rsid w:val="00CC77FC"/>
    <w:rsid w:val="00CE02BD"/>
    <w:rsid w:val="00CE1FC7"/>
    <w:rsid w:val="00CE2F19"/>
    <w:rsid w:val="00D02658"/>
    <w:rsid w:val="00D0577D"/>
    <w:rsid w:val="00D66104"/>
    <w:rsid w:val="00D70A22"/>
    <w:rsid w:val="00D97AA5"/>
    <w:rsid w:val="00DD568D"/>
    <w:rsid w:val="00DD69B2"/>
    <w:rsid w:val="00DE5847"/>
    <w:rsid w:val="00DF0D05"/>
    <w:rsid w:val="00DF21E1"/>
    <w:rsid w:val="00E06C55"/>
    <w:rsid w:val="00E07499"/>
    <w:rsid w:val="00E10997"/>
    <w:rsid w:val="00E404B1"/>
    <w:rsid w:val="00E454C3"/>
    <w:rsid w:val="00E86B1A"/>
    <w:rsid w:val="00EC3CE9"/>
    <w:rsid w:val="00EE408C"/>
    <w:rsid w:val="00EF58CB"/>
    <w:rsid w:val="00F16D0B"/>
    <w:rsid w:val="00F2137B"/>
    <w:rsid w:val="00F63482"/>
    <w:rsid w:val="00F67716"/>
    <w:rsid w:val="00F705F6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3D629B"/>
  <w15:chartTrackingRefBased/>
  <w15:docId w15:val="{26EF60E2-BD93-4CB5-91E4-1B00D91B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customStyle="1" w:styleId="Default">
    <w:name w:val="Default"/>
    <w:rsid w:val="003557D2"/>
    <w:pPr>
      <w:widowControl w:val="0"/>
      <w:autoSpaceDE w:val="0"/>
      <w:autoSpaceDN w:val="0"/>
      <w:adjustRightInd w:val="0"/>
    </w:pPr>
    <w:rPr>
      <w:rFonts w:ascii="u....." w:eastAsia="u....." w:cs="u.....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3557D2"/>
    <w:pPr>
      <w:spacing w:line="16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3557D2"/>
    <w:pPr>
      <w:spacing w:line="161" w:lineRule="atLeast"/>
    </w:pPr>
    <w:rPr>
      <w:rFonts w:cs="Times New Roman"/>
      <w:color w:val="auto"/>
    </w:rPr>
  </w:style>
  <w:style w:type="paragraph" w:styleId="a5">
    <w:name w:val="Revision"/>
    <w:hidden/>
    <w:uiPriority w:val="99"/>
    <w:semiHidden/>
    <w:rsid w:val="00C92304"/>
    <w:rPr>
      <w:rFonts w:ascii="ＭＳ ゴシック" w:eastAsia="ＭＳ ゴシック"/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134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467D"/>
    <w:rPr>
      <w:rFonts w:ascii="ＭＳ ゴシック"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4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467D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4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8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6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5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4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249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10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7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73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2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2006-03-29T07:40:00Z</cp:lastPrinted>
  <dcterms:created xsi:type="dcterms:W3CDTF">2026-03-13T07:33:00Z</dcterms:created>
  <dcterms:modified xsi:type="dcterms:W3CDTF">2026-03-28T02:27:00Z</dcterms:modified>
</cp:coreProperties>
</file>