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11CE" w14:textId="0C93E67B" w:rsidR="005750C8" w:rsidRPr="00536DD2" w:rsidRDefault="005750C8" w:rsidP="00631D20">
      <w:pPr>
        <w:spacing w:line="256" w:lineRule="exact"/>
        <w:jc w:val="left"/>
        <w:rPr>
          <w:color w:val="000000"/>
          <w:sz w:val="20"/>
          <w:szCs w:val="20"/>
        </w:rPr>
      </w:pPr>
      <w:r w:rsidRPr="00536DD2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536DD2" w:rsidRPr="00536DD2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4411"/>
        <w:gridCol w:w="4411"/>
      </w:tblGrid>
      <w:tr w:rsidR="005750C8" w:rsidRPr="00536DD2" w14:paraId="314C02C3" w14:textId="77777777" w:rsidTr="00631D20">
        <w:trPr>
          <w:trHeight w:val="70"/>
        </w:trPr>
        <w:tc>
          <w:tcPr>
            <w:tcW w:w="1634" w:type="dxa"/>
            <w:vAlign w:val="center"/>
          </w:tcPr>
          <w:p w14:paraId="62B6D4F7" w14:textId="77777777" w:rsidR="005750C8" w:rsidRPr="00536DD2" w:rsidRDefault="005750C8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vAlign w:val="center"/>
          </w:tcPr>
          <w:p w14:paraId="1B14EC5D" w14:textId="77777777" w:rsidR="005750C8" w:rsidRPr="00536DD2" w:rsidRDefault="005750C8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11" w:type="dxa"/>
            <w:vAlign w:val="center"/>
          </w:tcPr>
          <w:p w14:paraId="0CBC5D17" w14:textId="77777777" w:rsidR="005750C8" w:rsidRPr="00536DD2" w:rsidRDefault="005750C8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</w:tr>
      <w:tr w:rsidR="005750C8" w:rsidRPr="00536DD2" w14:paraId="0CA9C5C0" w14:textId="77777777" w:rsidTr="00631D20">
        <w:trPr>
          <w:trHeight w:val="70"/>
        </w:trPr>
        <w:tc>
          <w:tcPr>
            <w:tcW w:w="1634" w:type="dxa"/>
            <w:vAlign w:val="center"/>
          </w:tcPr>
          <w:p w14:paraId="4C12D0A6" w14:textId="77777777" w:rsidR="005750C8" w:rsidRPr="00536DD2" w:rsidRDefault="005750C8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11" w:type="dxa"/>
            <w:vAlign w:val="center"/>
          </w:tcPr>
          <w:p w14:paraId="08DB5A08" w14:textId="77777777" w:rsidR="005750C8" w:rsidRPr="00536DD2" w:rsidRDefault="005750C8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411" w:type="dxa"/>
            <w:vAlign w:val="center"/>
          </w:tcPr>
          <w:p w14:paraId="6219A3B2" w14:textId="70CF7985" w:rsidR="005750C8" w:rsidRPr="00536DD2" w:rsidRDefault="005750C8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0C8" w:rsidRPr="00536DD2" w14:paraId="23E3769B" w14:textId="77777777" w:rsidTr="00631D20">
        <w:trPr>
          <w:trHeight w:val="70"/>
        </w:trPr>
        <w:tc>
          <w:tcPr>
            <w:tcW w:w="1634" w:type="dxa"/>
            <w:vAlign w:val="center"/>
          </w:tcPr>
          <w:p w14:paraId="6814014F" w14:textId="77777777" w:rsidR="005750C8" w:rsidRPr="00536DD2" w:rsidRDefault="005750C8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11" w:type="dxa"/>
            <w:vAlign w:val="center"/>
          </w:tcPr>
          <w:p w14:paraId="62831421" w14:textId="77777777" w:rsidR="005750C8" w:rsidRPr="00536DD2" w:rsidRDefault="00D209B2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ラグノスNF経口ゼリー分包12g</w:t>
            </w:r>
          </w:p>
        </w:tc>
        <w:tc>
          <w:tcPr>
            <w:tcW w:w="4411" w:type="dxa"/>
            <w:vAlign w:val="center"/>
          </w:tcPr>
          <w:p w14:paraId="59A82D6C" w14:textId="6275CDF0" w:rsidR="005750C8" w:rsidRPr="00536DD2" w:rsidRDefault="005750C8" w:rsidP="00631D20">
            <w:pPr>
              <w:spacing w:line="256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631D20" w:rsidRPr="00536DD2" w14:paraId="15738878" w14:textId="77777777" w:rsidTr="00631D20">
        <w:trPr>
          <w:trHeight w:val="70"/>
        </w:trPr>
        <w:tc>
          <w:tcPr>
            <w:tcW w:w="1634" w:type="dxa"/>
            <w:vAlign w:val="center"/>
          </w:tcPr>
          <w:p w14:paraId="6849E123" w14:textId="77777777" w:rsidR="00631D20" w:rsidRPr="00536DD2" w:rsidRDefault="00631D20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11" w:type="dxa"/>
            <w:vAlign w:val="center"/>
          </w:tcPr>
          <w:p w14:paraId="754EEAD5" w14:textId="251B4700" w:rsidR="00631D20" w:rsidRPr="00536DD2" w:rsidRDefault="00536DD2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54.167%12g1包：49.40円</w:t>
            </w:r>
          </w:p>
        </w:tc>
        <w:tc>
          <w:tcPr>
            <w:tcW w:w="4411" w:type="dxa"/>
            <w:vAlign w:val="center"/>
          </w:tcPr>
          <w:p w14:paraId="6F93D587" w14:textId="3384B771" w:rsidR="00631D20" w:rsidRPr="00536DD2" w:rsidRDefault="00536DD2" w:rsidP="00631D20">
            <w:pPr>
              <w:spacing w:line="256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65%1mL：6.90円</w:t>
            </w:r>
          </w:p>
        </w:tc>
      </w:tr>
      <w:tr w:rsidR="005750C8" w:rsidRPr="00536DD2" w14:paraId="57013531" w14:textId="77777777" w:rsidTr="00631D20">
        <w:trPr>
          <w:trHeight w:val="70"/>
        </w:trPr>
        <w:tc>
          <w:tcPr>
            <w:tcW w:w="1634" w:type="dxa"/>
            <w:vAlign w:val="center"/>
          </w:tcPr>
          <w:p w14:paraId="0C4710C7" w14:textId="77777777" w:rsidR="005750C8" w:rsidRPr="00536DD2" w:rsidRDefault="005750C8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822" w:type="dxa"/>
            <w:gridSpan w:val="2"/>
            <w:vAlign w:val="center"/>
          </w:tcPr>
          <w:p w14:paraId="1D5B6A14" w14:textId="77777777" w:rsidR="005750C8" w:rsidRPr="00536DD2" w:rsidRDefault="005750C8" w:rsidP="00631D20">
            <w:pPr>
              <w:spacing w:line="256" w:lineRule="exact"/>
              <w:jc w:val="lef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ラクツロース</w:t>
            </w:r>
          </w:p>
        </w:tc>
      </w:tr>
      <w:tr w:rsidR="005750C8" w:rsidRPr="00536DD2" w14:paraId="15BEE26B" w14:textId="77777777" w:rsidTr="00631D20">
        <w:trPr>
          <w:trHeight w:val="227"/>
        </w:trPr>
        <w:tc>
          <w:tcPr>
            <w:tcW w:w="1634" w:type="dxa"/>
          </w:tcPr>
          <w:p w14:paraId="64626DEB" w14:textId="77777777" w:rsidR="005750C8" w:rsidRPr="00536DD2" w:rsidRDefault="005750C8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4411" w:type="dxa"/>
          </w:tcPr>
          <w:p w14:paraId="2F1FB766" w14:textId="77777777" w:rsidR="00D209B2" w:rsidRPr="00536DD2" w:rsidRDefault="00D209B2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1g中結晶ラクツロース541.67mg（ラクツロースとして）</w:t>
            </w:r>
          </w:p>
          <w:p w14:paraId="6ECB9486" w14:textId="77777777" w:rsidR="005750C8" w:rsidRPr="00536DD2" w:rsidRDefault="00D209B2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〔本剤1包（12g）中ラクツロース6.5g〕</w:t>
            </w:r>
          </w:p>
        </w:tc>
        <w:tc>
          <w:tcPr>
            <w:tcW w:w="4411" w:type="dxa"/>
          </w:tcPr>
          <w:p w14:paraId="130DDC08" w14:textId="77777777" w:rsidR="005750C8" w:rsidRPr="00536DD2" w:rsidRDefault="00BD5134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1mL中ラクツロース650mg（日局ラクツロースとして</w:t>
            </w:r>
            <w:r w:rsidR="00C31783" w:rsidRPr="00536DD2">
              <w:rPr>
                <w:rFonts w:hint="eastAsia"/>
                <w:color w:val="000000"/>
                <w:sz w:val="20"/>
                <w:szCs w:val="20"/>
              </w:rPr>
              <w:t>0.91mL）</w:t>
            </w:r>
          </w:p>
        </w:tc>
      </w:tr>
      <w:tr w:rsidR="002D3A28" w:rsidRPr="00536DD2" w14:paraId="17D4F2E9" w14:textId="77777777" w:rsidTr="00631D20">
        <w:trPr>
          <w:trHeight w:val="70"/>
        </w:trPr>
        <w:tc>
          <w:tcPr>
            <w:tcW w:w="1634" w:type="dxa"/>
            <w:vAlign w:val="center"/>
          </w:tcPr>
          <w:p w14:paraId="5700EF99" w14:textId="77777777" w:rsidR="002D3A28" w:rsidRPr="00536DD2" w:rsidRDefault="002D3A28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822" w:type="dxa"/>
            <w:gridSpan w:val="2"/>
            <w:vAlign w:val="center"/>
          </w:tcPr>
          <w:p w14:paraId="59F49A6B" w14:textId="77777777" w:rsidR="002D3A28" w:rsidRPr="00536DD2" w:rsidRDefault="002D3A28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生理的腸管機能改善剤・高アンモニア血症用剤</w:t>
            </w:r>
          </w:p>
        </w:tc>
      </w:tr>
      <w:tr w:rsidR="005750C8" w:rsidRPr="00536DD2" w14:paraId="44BC68F6" w14:textId="77777777" w:rsidTr="00C31783">
        <w:tc>
          <w:tcPr>
            <w:tcW w:w="1634" w:type="dxa"/>
          </w:tcPr>
          <w:p w14:paraId="5F7787AB" w14:textId="77777777" w:rsidR="005750C8" w:rsidRPr="00536DD2" w:rsidRDefault="005750C8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EA2487" w:rsidRPr="00536DD2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536DD2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4411" w:type="dxa"/>
          </w:tcPr>
          <w:p w14:paraId="079C9FB7" w14:textId="77777777" w:rsidR="00D209B2" w:rsidRPr="00536DD2" w:rsidRDefault="00174882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Ansi="ＭＳ ゴシック" w:hint="eastAsia"/>
                <w:color w:val="000000"/>
                <w:sz w:val="20"/>
              </w:rPr>
              <w:t>○</w:t>
            </w:r>
            <w:r w:rsidR="00D209B2" w:rsidRPr="00536DD2">
              <w:rPr>
                <w:rFonts w:hint="eastAsia"/>
                <w:color w:val="000000"/>
                <w:sz w:val="20"/>
                <w:szCs w:val="20"/>
              </w:rPr>
              <w:t>慢性便秘症（器質的疾患による便秘を除く）</w:t>
            </w:r>
          </w:p>
          <w:p w14:paraId="1EA7D4DF" w14:textId="77777777" w:rsidR="005750C8" w:rsidRPr="00536DD2" w:rsidRDefault="00174882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Ansi="ＭＳ ゴシック" w:hint="eastAsia"/>
                <w:color w:val="000000"/>
                <w:sz w:val="20"/>
              </w:rPr>
              <w:t>○</w:t>
            </w:r>
            <w:r w:rsidR="005750C8" w:rsidRPr="00536DD2">
              <w:rPr>
                <w:rFonts w:hint="eastAsia"/>
                <w:color w:val="000000"/>
                <w:sz w:val="20"/>
                <w:szCs w:val="20"/>
              </w:rPr>
              <w:t>高アンモニア血症に伴う下記症候の改善</w:t>
            </w:r>
          </w:p>
          <w:p w14:paraId="279E3AFE" w14:textId="77777777" w:rsidR="005750C8" w:rsidRPr="00536DD2" w:rsidRDefault="005750C8" w:rsidP="00631D20">
            <w:pPr>
              <w:spacing w:line="256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精神神経障害、手指振戦、脳波異常</w:t>
            </w:r>
          </w:p>
          <w:p w14:paraId="7C49DCCA" w14:textId="77777777" w:rsidR="005750C8" w:rsidRPr="00536DD2" w:rsidRDefault="00174882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Ansi="ＭＳ ゴシック" w:hint="eastAsia"/>
                <w:color w:val="000000"/>
                <w:sz w:val="20"/>
              </w:rPr>
              <w:t>○</w:t>
            </w:r>
            <w:r w:rsidR="005750C8" w:rsidRPr="00536DD2">
              <w:rPr>
                <w:rFonts w:hint="eastAsia"/>
                <w:color w:val="000000"/>
                <w:sz w:val="20"/>
                <w:szCs w:val="20"/>
              </w:rPr>
              <w:t>産婦人科術後の排ガス・排便の促進</w:t>
            </w:r>
          </w:p>
        </w:tc>
        <w:tc>
          <w:tcPr>
            <w:tcW w:w="4411" w:type="dxa"/>
          </w:tcPr>
          <w:p w14:paraId="38A82C44" w14:textId="77777777" w:rsidR="005750C8" w:rsidRPr="00536DD2" w:rsidRDefault="002D3A28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○</w:t>
            </w:r>
            <w:r w:rsidR="005750C8" w:rsidRPr="00536DD2">
              <w:rPr>
                <w:rFonts w:hint="eastAsia"/>
                <w:color w:val="000000"/>
                <w:sz w:val="20"/>
                <w:szCs w:val="20"/>
              </w:rPr>
              <w:t>高アンモニア血症に伴う下記症候の改善</w:t>
            </w:r>
          </w:p>
          <w:p w14:paraId="26B70259" w14:textId="77777777" w:rsidR="005750C8" w:rsidRPr="00536DD2" w:rsidRDefault="005750C8" w:rsidP="00631D20">
            <w:pPr>
              <w:spacing w:line="256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精神神経障害、手指振戦、脳波異常</w:t>
            </w:r>
          </w:p>
          <w:p w14:paraId="55E1DB69" w14:textId="77777777" w:rsidR="005750C8" w:rsidRPr="00536DD2" w:rsidRDefault="002D3A28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○</w:t>
            </w:r>
            <w:r w:rsidR="005750C8" w:rsidRPr="00536DD2">
              <w:rPr>
                <w:rFonts w:hint="eastAsia"/>
                <w:color w:val="000000"/>
                <w:sz w:val="20"/>
                <w:szCs w:val="20"/>
              </w:rPr>
              <w:t>産婦人科術後の排ガス・排便の促進</w:t>
            </w:r>
          </w:p>
          <w:p w14:paraId="54AB2522" w14:textId="77777777" w:rsidR="005750C8" w:rsidRPr="00536DD2" w:rsidRDefault="002D3A28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○</w:t>
            </w:r>
            <w:r w:rsidR="005750C8" w:rsidRPr="00536DD2">
              <w:rPr>
                <w:rFonts w:hint="eastAsia"/>
                <w:color w:val="000000"/>
                <w:sz w:val="20"/>
                <w:szCs w:val="20"/>
              </w:rPr>
              <w:t>小児における便秘の改善</w:t>
            </w:r>
          </w:p>
        </w:tc>
      </w:tr>
      <w:tr w:rsidR="00F1509F" w:rsidRPr="00536DD2" w14:paraId="610A8205" w14:textId="77777777" w:rsidTr="00C31783">
        <w:tc>
          <w:tcPr>
            <w:tcW w:w="1634" w:type="dxa"/>
          </w:tcPr>
          <w:p w14:paraId="0B137685" w14:textId="77777777" w:rsidR="00F1509F" w:rsidRPr="00536DD2" w:rsidRDefault="00F1509F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EA2487" w:rsidRPr="00536DD2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536DD2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4411" w:type="dxa"/>
          </w:tcPr>
          <w:p w14:paraId="04B674EE" w14:textId="77777777" w:rsidR="00F1509F" w:rsidRPr="00536DD2" w:rsidRDefault="00F1509F" w:rsidP="00631D20">
            <w:pPr>
              <w:spacing w:line="256" w:lineRule="exact"/>
              <w:rPr>
                <w:rFonts w:hAnsi="ＭＳ ゴシック"/>
                <w:color w:val="000000"/>
                <w:sz w:val="20"/>
              </w:rPr>
            </w:pPr>
            <w:r w:rsidRPr="00536DD2">
              <w:rPr>
                <w:rFonts w:hAnsi="ＭＳ ゴシック" w:hint="eastAsia"/>
                <w:color w:val="000000"/>
                <w:sz w:val="20"/>
              </w:rPr>
              <w:t>&lt;</w:t>
            </w:r>
            <w:r w:rsidRPr="00536DD2">
              <w:rPr>
                <w:rFonts w:hAnsi="ＭＳ ゴシック"/>
                <w:color w:val="000000"/>
                <w:sz w:val="20"/>
              </w:rPr>
              <w:t>慢性便秘症（器質的疾患による便秘を除く）</w:t>
            </w:r>
            <w:r w:rsidRPr="00536DD2">
              <w:rPr>
                <w:rFonts w:hAnsi="ＭＳ ゴシック" w:hint="eastAsia"/>
                <w:color w:val="000000"/>
                <w:sz w:val="20"/>
              </w:rPr>
              <w:t>&gt;</w:t>
            </w:r>
          </w:p>
          <w:p w14:paraId="66B0932B" w14:textId="77777777" w:rsidR="00F1509F" w:rsidRPr="00536DD2" w:rsidRDefault="00F1509F" w:rsidP="00631D20">
            <w:pPr>
              <w:spacing w:line="256" w:lineRule="exact"/>
              <w:ind w:leftChars="100" w:left="210"/>
              <w:rPr>
                <w:rFonts w:hAnsi="ＭＳ ゴシック"/>
                <w:color w:val="000000"/>
                <w:sz w:val="20"/>
              </w:rPr>
            </w:pPr>
            <w:bookmarkStart w:id="0" w:name="67"/>
            <w:bookmarkEnd w:id="0"/>
            <w:r w:rsidRPr="00536DD2">
              <w:rPr>
                <w:rFonts w:hAnsi="ＭＳ ゴシック"/>
                <w:color w:val="000000"/>
                <w:sz w:val="20"/>
              </w:rPr>
              <w:t>通常、成人には本剤24g（本剤2包）を1日2回経口投与する。症状により適宜増減するが、1日最高用量は72g（本剤6包）までとする。</w:t>
            </w:r>
          </w:p>
          <w:p w14:paraId="1F0AC81E" w14:textId="77777777" w:rsidR="00F1509F" w:rsidRPr="00536DD2" w:rsidRDefault="00F1509F" w:rsidP="00631D20">
            <w:pPr>
              <w:spacing w:line="256" w:lineRule="exact"/>
              <w:rPr>
                <w:rFonts w:hAnsi="ＭＳ ゴシック"/>
                <w:color w:val="000000"/>
                <w:sz w:val="20"/>
              </w:rPr>
            </w:pPr>
            <w:r w:rsidRPr="00536DD2">
              <w:rPr>
                <w:rFonts w:hAnsi="ＭＳ ゴシック" w:hint="eastAsia"/>
                <w:color w:val="000000"/>
                <w:sz w:val="20"/>
              </w:rPr>
              <w:t>&lt;</w:t>
            </w:r>
            <w:r w:rsidRPr="00536DD2">
              <w:rPr>
                <w:rFonts w:hAnsi="ＭＳ ゴシック"/>
                <w:color w:val="000000"/>
                <w:sz w:val="20"/>
              </w:rPr>
              <w:t>高アンモニア血症に伴う症候の改善</w:t>
            </w:r>
            <w:r w:rsidRPr="00536DD2">
              <w:rPr>
                <w:rFonts w:hAnsi="ＭＳ ゴシック" w:hint="eastAsia"/>
                <w:color w:val="000000"/>
                <w:sz w:val="20"/>
              </w:rPr>
              <w:t>&gt;</w:t>
            </w:r>
          </w:p>
          <w:p w14:paraId="7BABE529" w14:textId="77777777" w:rsidR="00F1509F" w:rsidRPr="00536DD2" w:rsidRDefault="00F1509F" w:rsidP="00631D20">
            <w:pPr>
              <w:spacing w:line="256" w:lineRule="exact"/>
              <w:ind w:leftChars="100" w:left="210"/>
              <w:rPr>
                <w:rFonts w:hAnsi="ＭＳ ゴシック"/>
                <w:color w:val="000000"/>
                <w:sz w:val="20"/>
              </w:rPr>
            </w:pPr>
            <w:bookmarkStart w:id="1" w:name="73"/>
            <w:bookmarkEnd w:id="1"/>
            <w:r w:rsidRPr="00536DD2">
              <w:rPr>
                <w:rFonts w:hAnsi="ＭＳ ゴシック"/>
                <w:color w:val="000000"/>
                <w:sz w:val="20"/>
              </w:rPr>
              <w:t>通常、成人には本剤12～24g（本剤1～2包）を1日3回（1日量として本剤3～6包）経口投与する。年齢、症状により適宜増減する。</w:t>
            </w:r>
          </w:p>
          <w:p w14:paraId="0C8353ED" w14:textId="77777777" w:rsidR="00F1509F" w:rsidRPr="00536DD2" w:rsidRDefault="00F1509F" w:rsidP="00631D20">
            <w:pPr>
              <w:spacing w:line="256" w:lineRule="exact"/>
              <w:rPr>
                <w:rFonts w:hAnsi="ＭＳ ゴシック"/>
                <w:color w:val="000000"/>
                <w:sz w:val="20"/>
              </w:rPr>
            </w:pPr>
            <w:r w:rsidRPr="00536DD2">
              <w:rPr>
                <w:rFonts w:hAnsi="ＭＳ ゴシック" w:hint="eastAsia"/>
                <w:color w:val="000000"/>
                <w:sz w:val="20"/>
              </w:rPr>
              <w:t>&lt;</w:t>
            </w:r>
            <w:r w:rsidRPr="00536DD2">
              <w:rPr>
                <w:rFonts w:hAnsi="ＭＳ ゴシック"/>
                <w:color w:val="000000"/>
                <w:sz w:val="20"/>
              </w:rPr>
              <w:t>産婦人科術後の排ガス・排便の促進</w:t>
            </w:r>
            <w:r w:rsidRPr="00536DD2">
              <w:rPr>
                <w:rFonts w:hAnsi="ＭＳ ゴシック" w:hint="eastAsia"/>
                <w:color w:val="000000"/>
                <w:sz w:val="20"/>
              </w:rPr>
              <w:t>&gt;</w:t>
            </w:r>
          </w:p>
          <w:p w14:paraId="253772A8" w14:textId="77777777" w:rsidR="00F1509F" w:rsidRPr="00536DD2" w:rsidRDefault="00F1509F" w:rsidP="00631D20">
            <w:pPr>
              <w:spacing w:line="256" w:lineRule="exact"/>
              <w:ind w:leftChars="100" w:left="210"/>
              <w:rPr>
                <w:rFonts w:hAnsi="ＭＳ ゴシック"/>
                <w:color w:val="000000"/>
              </w:rPr>
            </w:pPr>
            <w:bookmarkStart w:id="2" w:name="79"/>
            <w:bookmarkEnd w:id="2"/>
            <w:r w:rsidRPr="00536DD2">
              <w:rPr>
                <w:rFonts w:hAnsi="ＭＳ ゴシック"/>
                <w:color w:val="000000"/>
                <w:sz w:val="20"/>
              </w:rPr>
              <w:t>通常、成人には本剤12～36g（本剤1～3包）を1日2回（1日量として本剤3～6包）経口投与する。年齢、症状により適宜増減する。</w:t>
            </w:r>
          </w:p>
        </w:tc>
        <w:tc>
          <w:tcPr>
            <w:tcW w:w="4411" w:type="dxa"/>
          </w:tcPr>
          <w:p w14:paraId="5B365C6A" w14:textId="77777777" w:rsidR="00F1509F" w:rsidRPr="00536DD2" w:rsidRDefault="00F1509F" w:rsidP="00631D20">
            <w:pPr>
              <w:spacing w:line="256" w:lineRule="exact"/>
              <w:ind w:left="100" w:hangingChars="50" w:hanging="100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&lt;</w:t>
            </w:r>
            <w:r w:rsidRPr="00536DD2">
              <w:rPr>
                <w:color w:val="000000"/>
                <w:sz w:val="20"/>
                <w:szCs w:val="20"/>
              </w:rPr>
              <w:t>高アンモニア血症に伴う症候の改善及び産婦人科術後の排ガス・排便の促進</w:t>
            </w:r>
            <w:r w:rsidRPr="00536DD2">
              <w:rPr>
                <w:rFonts w:hint="eastAsia"/>
                <w:color w:val="000000"/>
                <w:sz w:val="20"/>
                <w:szCs w:val="20"/>
              </w:rPr>
              <w:t>&gt;</w:t>
            </w:r>
          </w:p>
          <w:p w14:paraId="4F842FFD" w14:textId="77777777" w:rsidR="00F1509F" w:rsidRPr="00536DD2" w:rsidRDefault="00F1509F" w:rsidP="00631D20">
            <w:pPr>
              <w:spacing w:line="256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536DD2">
              <w:rPr>
                <w:color w:val="000000"/>
                <w:sz w:val="20"/>
                <w:szCs w:val="20"/>
              </w:rPr>
              <w:t>通常、成人1日量30～60mLを高アンモニア血症の場合3回、産婦人科術後の排ガス・排便の目的には朝夕2回に分けて経口投与する。年齢、症状により適宜増減する。</w:t>
            </w:r>
          </w:p>
          <w:p w14:paraId="1D31E2D1" w14:textId="77777777" w:rsidR="00F1509F" w:rsidRPr="00536DD2" w:rsidRDefault="00F1509F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&lt;</w:t>
            </w:r>
            <w:r w:rsidRPr="00536DD2">
              <w:rPr>
                <w:color w:val="000000"/>
                <w:sz w:val="20"/>
                <w:szCs w:val="20"/>
              </w:rPr>
              <w:t>小児における便秘の改善</w:t>
            </w:r>
            <w:r w:rsidRPr="00536DD2">
              <w:rPr>
                <w:rFonts w:hint="eastAsia"/>
                <w:color w:val="000000"/>
                <w:sz w:val="20"/>
                <w:szCs w:val="20"/>
              </w:rPr>
              <w:t>&gt;</w:t>
            </w:r>
          </w:p>
          <w:p w14:paraId="1DD7209A" w14:textId="77777777" w:rsidR="00F1509F" w:rsidRPr="00536DD2" w:rsidRDefault="00F1509F" w:rsidP="00631D20">
            <w:pPr>
              <w:spacing w:line="256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536DD2">
              <w:rPr>
                <w:color w:val="000000"/>
                <w:sz w:val="20"/>
                <w:szCs w:val="20"/>
              </w:rPr>
              <w:t>小児便秘症の場合、通常1日0.5～2mL/kgを3回に分けて経口投与する。投与量は便性状により適宜増減する。</w:t>
            </w:r>
          </w:p>
        </w:tc>
      </w:tr>
      <w:tr w:rsidR="00F1509F" w:rsidRPr="00536DD2" w14:paraId="7DF9D9DC" w14:textId="77777777" w:rsidTr="00631D20">
        <w:trPr>
          <w:trHeight w:val="70"/>
        </w:trPr>
        <w:tc>
          <w:tcPr>
            <w:tcW w:w="1634" w:type="dxa"/>
          </w:tcPr>
          <w:p w14:paraId="6B2ADDFE" w14:textId="77777777" w:rsidR="00F1509F" w:rsidRPr="00536DD2" w:rsidRDefault="00F1509F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EA2487" w:rsidRPr="00536DD2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11" w:type="dxa"/>
          </w:tcPr>
          <w:p w14:paraId="669353DB" w14:textId="77777777" w:rsidR="00F1509F" w:rsidRPr="00536DD2" w:rsidRDefault="00F1509F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カンテン末、カロブビーンガム、pH調節剤、ソルビン酸K</w:t>
            </w:r>
          </w:p>
        </w:tc>
        <w:tc>
          <w:tcPr>
            <w:tcW w:w="4411" w:type="dxa"/>
          </w:tcPr>
          <w:p w14:paraId="3D04D8B1" w14:textId="5C6A5C4F" w:rsidR="00F1509F" w:rsidRPr="00536DD2" w:rsidRDefault="00F1509F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</w:p>
        </w:tc>
      </w:tr>
      <w:tr w:rsidR="00F1509F" w:rsidRPr="00536DD2" w14:paraId="7C80E355" w14:textId="77777777" w:rsidTr="00631D20">
        <w:trPr>
          <w:trHeight w:val="147"/>
        </w:trPr>
        <w:tc>
          <w:tcPr>
            <w:tcW w:w="1634" w:type="dxa"/>
          </w:tcPr>
          <w:p w14:paraId="7527CBC6" w14:textId="77777777" w:rsidR="00F1509F" w:rsidRPr="00536DD2" w:rsidRDefault="00F1509F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4411" w:type="dxa"/>
            <w:shd w:val="clear" w:color="auto" w:fill="auto"/>
          </w:tcPr>
          <w:p w14:paraId="12C158B4" w14:textId="77777777" w:rsidR="00F1509F" w:rsidRPr="00536DD2" w:rsidRDefault="00F1509F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無色～淡褐色のゼリー様である。</w:t>
            </w:r>
          </w:p>
        </w:tc>
        <w:tc>
          <w:tcPr>
            <w:tcW w:w="4411" w:type="dxa"/>
            <w:shd w:val="clear" w:color="auto" w:fill="auto"/>
          </w:tcPr>
          <w:p w14:paraId="1E74A8EA" w14:textId="776420A8" w:rsidR="00F1509F" w:rsidRPr="00536DD2" w:rsidRDefault="00F1509F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</w:p>
        </w:tc>
      </w:tr>
      <w:tr w:rsidR="00F1509F" w:rsidRPr="00536DD2" w14:paraId="4CD8C9CF" w14:textId="77777777" w:rsidTr="00152014">
        <w:trPr>
          <w:trHeight w:val="3061"/>
        </w:trPr>
        <w:tc>
          <w:tcPr>
            <w:tcW w:w="1634" w:type="dxa"/>
          </w:tcPr>
          <w:p w14:paraId="779E3B45" w14:textId="77777777" w:rsidR="00F1509F" w:rsidRPr="00536DD2" w:rsidRDefault="00F1509F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0C54CEF7" w14:textId="77777777" w:rsidR="00F1509F" w:rsidRPr="00536DD2" w:rsidRDefault="00F1509F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822" w:type="dxa"/>
            <w:gridSpan w:val="2"/>
          </w:tcPr>
          <w:p w14:paraId="2C9487D0" w14:textId="77777777" w:rsidR="00F1509F" w:rsidRPr="00536DD2" w:rsidRDefault="00F1509F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ラグノスNF経口ゼリー分包12gは、品質再評価対象外である。</w:t>
            </w:r>
          </w:p>
          <w:p w14:paraId="592B053C" w14:textId="77777777" w:rsidR="00F1509F" w:rsidRPr="00536DD2" w:rsidRDefault="00F1509F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生物学的同等性試験において、標準品と薬理効果が同等と確認された。［社内資料］</w:t>
            </w:r>
          </w:p>
          <w:p w14:paraId="6274C45C" w14:textId="77777777" w:rsidR="00F1509F" w:rsidRPr="00536DD2" w:rsidRDefault="00F1509F" w:rsidP="00631D20">
            <w:pPr>
              <w:spacing w:line="256" w:lineRule="exact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効果比較試験（ラット）</w:t>
            </w:r>
          </w:p>
          <w:p w14:paraId="349DD70A" w14:textId="77777777" w:rsidR="00F1509F" w:rsidRPr="00536DD2" w:rsidRDefault="00257F03" w:rsidP="00F15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A7BC3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153pt">
                  <v:imagedata r:id="rId6" o:title=""/>
                </v:shape>
              </w:pict>
            </w:r>
            <w:r w:rsidR="00F1509F" w:rsidRPr="00536DD2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pict w14:anchorId="490FB3D2">
                <v:shape id="_x0000_i1026" type="#_x0000_t75" style="width:210.75pt;height:153pt">
                  <v:imagedata r:id="rId7" o:title=""/>
                </v:shape>
              </w:pict>
            </w:r>
          </w:p>
          <w:p w14:paraId="264F5767" w14:textId="77777777" w:rsidR="00F1509F" w:rsidRPr="00536DD2" w:rsidRDefault="00257F03" w:rsidP="00F1509F">
            <w:pPr>
              <w:tabs>
                <w:tab w:val="left" w:pos="4965"/>
                <w:tab w:val="left" w:pos="822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A725A8C">
                <v:shape id="_x0000_i1027" type="#_x0000_t75" style="width:207.75pt;height:156pt">
                  <v:imagedata r:id="rId8" o:title=""/>
                </v:shape>
              </w:pict>
            </w:r>
            <w:r w:rsidR="00F1509F" w:rsidRPr="00536DD2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pict w14:anchorId="1008B635">
                <v:shape id="_x0000_i1028" type="#_x0000_t75" style="width:205.5pt;height:153pt">
                  <v:imagedata r:id="rId9" o:title=""/>
                </v:shape>
              </w:pict>
            </w:r>
            <w:r w:rsidR="00F1509F" w:rsidRPr="00536DD2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1509F" w:rsidRPr="00536DD2" w14:paraId="76E8A94F" w14:textId="77777777" w:rsidTr="00631D20">
        <w:trPr>
          <w:trHeight w:val="137"/>
        </w:trPr>
        <w:tc>
          <w:tcPr>
            <w:tcW w:w="1634" w:type="dxa"/>
            <w:vAlign w:val="center"/>
          </w:tcPr>
          <w:p w14:paraId="33C2D74D" w14:textId="77777777" w:rsidR="00F1509F" w:rsidRPr="00536DD2" w:rsidRDefault="00F1509F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822" w:type="dxa"/>
            <w:gridSpan w:val="2"/>
            <w:vAlign w:val="center"/>
          </w:tcPr>
          <w:p w14:paraId="54CA7B4A" w14:textId="77777777" w:rsidR="00F1509F" w:rsidRPr="00536DD2" w:rsidRDefault="00F1509F" w:rsidP="00631D20">
            <w:pPr>
              <w:spacing w:line="256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</w:tr>
      <w:tr w:rsidR="00F1509F" w:rsidRPr="00536DD2" w14:paraId="5D29BBE8" w14:textId="77777777" w:rsidTr="00631D20">
        <w:trPr>
          <w:trHeight w:val="70"/>
        </w:trPr>
        <w:tc>
          <w:tcPr>
            <w:tcW w:w="1634" w:type="dxa"/>
            <w:vAlign w:val="center"/>
          </w:tcPr>
          <w:p w14:paraId="56B43D53" w14:textId="77777777" w:rsidR="00F1509F" w:rsidRPr="00536DD2" w:rsidRDefault="00F1509F" w:rsidP="00631D20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536DD2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822" w:type="dxa"/>
            <w:gridSpan w:val="2"/>
            <w:vAlign w:val="center"/>
          </w:tcPr>
          <w:p w14:paraId="5BA17C48" w14:textId="77777777" w:rsidR="00F1509F" w:rsidRPr="00536DD2" w:rsidRDefault="00F1509F" w:rsidP="00631D20">
            <w:pPr>
              <w:tabs>
                <w:tab w:val="left" w:pos="571"/>
                <w:tab w:val="left" w:pos="3886"/>
                <w:tab w:val="left" w:pos="4966"/>
              </w:tabs>
              <w:spacing w:line="256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51AA6BF" w14:textId="77777777" w:rsidR="00CF3D2D" w:rsidRPr="00536DD2" w:rsidRDefault="00CF3D2D" w:rsidP="00631D20">
      <w:pPr>
        <w:spacing w:line="60" w:lineRule="exact"/>
        <w:rPr>
          <w:color w:val="000000"/>
        </w:rPr>
      </w:pPr>
    </w:p>
    <w:sectPr w:rsidR="00CF3D2D" w:rsidRPr="00536DD2" w:rsidSect="00631D20">
      <w:pgSz w:w="11906" w:h="16838" w:code="9"/>
      <w:pgMar w:top="680" w:right="851" w:bottom="68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A6C5" w14:textId="77777777" w:rsidR="00C209E7" w:rsidRDefault="00C209E7" w:rsidP="00174882">
      <w:r>
        <w:separator/>
      </w:r>
    </w:p>
  </w:endnote>
  <w:endnote w:type="continuationSeparator" w:id="0">
    <w:p w14:paraId="309B787E" w14:textId="77777777" w:rsidR="00C209E7" w:rsidRDefault="00C209E7" w:rsidP="0017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C0C8" w14:textId="77777777" w:rsidR="00C209E7" w:rsidRDefault="00C209E7" w:rsidP="00174882">
      <w:r>
        <w:separator/>
      </w:r>
    </w:p>
  </w:footnote>
  <w:footnote w:type="continuationSeparator" w:id="0">
    <w:p w14:paraId="5261BF8A" w14:textId="77777777" w:rsidR="00C209E7" w:rsidRDefault="00C209E7" w:rsidP="00174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C4F"/>
    <w:rsid w:val="00020F86"/>
    <w:rsid w:val="000346D5"/>
    <w:rsid w:val="000404C0"/>
    <w:rsid w:val="000438EA"/>
    <w:rsid w:val="00045380"/>
    <w:rsid w:val="00061597"/>
    <w:rsid w:val="0007749C"/>
    <w:rsid w:val="00083CFB"/>
    <w:rsid w:val="001244FD"/>
    <w:rsid w:val="00124D5D"/>
    <w:rsid w:val="00127A1B"/>
    <w:rsid w:val="00136FA1"/>
    <w:rsid w:val="0014288B"/>
    <w:rsid w:val="00146916"/>
    <w:rsid w:val="00152014"/>
    <w:rsid w:val="00167483"/>
    <w:rsid w:val="00174882"/>
    <w:rsid w:val="00176BDB"/>
    <w:rsid w:val="00195FD4"/>
    <w:rsid w:val="001B2387"/>
    <w:rsid w:val="001C05A8"/>
    <w:rsid w:val="001E5CB9"/>
    <w:rsid w:val="001F57E3"/>
    <w:rsid w:val="001F72E8"/>
    <w:rsid w:val="0023060A"/>
    <w:rsid w:val="00234C8E"/>
    <w:rsid w:val="002575ED"/>
    <w:rsid w:val="00257F03"/>
    <w:rsid w:val="002656D8"/>
    <w:rsid w:val="00273992"/>
    <w:rsid w:val="00273D10"/>
    <w:rsid w:val="002857FD"/>
    <w:rsid w:val="00293A80"/>
    <w:rsid w:val="002A7E4B"/>
    <w:rsid w:val="002C22B3"/>
    <w:rsid w:val="002C5405"/>
    <w:rsid w:val="002C5EB3"/>
    <w:rsid w:val="002C6913"/>
    <w:rsid w:val="002D3A28"/>
    <w:rsid w:val="002F670F"/>
    <w:rsid w:val="00305CF9"/>
    <w:rsid w:val="00305FD0"/>
    <w:rsid w:val="00331A3A"/>
    <w:rsid w:val="003351A1"/>
    <w:rsid w:val="00336B4D"/>
    <w:rsid w:val="0034755B"/>
    <w:rsid w:val="00376389"/>
    <w:rsid w:val="003830E9"/>
    <w:rsid w:val="0039286A"/>
    <w:rsid w:val="0039290A"/>
    <w:rsid w:val="00395428"/>
    <w:rsid w:val="003A0D6C"/>
    <w:rsid w:val="003A394F"/>
    <w:rsid w:val="003C3056"/>
    <w:rsid w:val="003F6BB6"/>
    <w:rsid w:val="004025DB"/>
    <w:rsid w:val="00415A5F"/>
    <w:rsid w:val="004321D9"/>
    <w:rsid w:val="004765AE"/>
    <w:rsid w:val="004A52FF"/>
    <w:rsid w:val="004B0D66"/>
    <w:rsid w:val="004E3266"/>
    <w:rsid w:val="004F1713"/>
    <w:rsid w:val="005110A6"/>
    <w:rsid w:val="00511F8E"/>
    <w:rsid w:val="00516CFB"/>
    <w:rsid w:val="00520D7F"/>
    <w:rsid w:val="00522CAC"/>
    <w:rsid w:val="00534295"/>
    <w:rsid w:val="00535BFB"/>
    <w:rsid w:val="00536DD2"/>
    <w:rsid w:val="00540DD0"/>
    <w:rsid w:val="00545173"/>
    <w:rsid w:val="005514A8"/>
    <w:rsid w:val="0055486A"/>
    <w:rsid w:val="00560365"/>
    <w:rsid w:val="005745F9"/>
    <w:rsid w:val="0057505C"/>
    <w:rsid w:val="005750C8"/>
    <w:rsid w:val="005B51D9"/>
    <w:rsid w:val="005C4347"/>
    <w:rsid w:val="005C45C8"/>
    <w:rsid w:val="005D72DA"/>
    <w:rsid w:val="005F0B3B"/>
    <w:rsid w:val="005F3353"/>
    <w:rsid w:val="005F7AD5"/>
    <w:rsid w:val="00620630"/>
    <w:rsid w:val="00620C00"/>
    <w:rsid w:val="00627168"/>
    <w:rsid w:val="00631D20"/>
    <w:rsid w:val="006321E7"/>
    <w:rsid w:val="00645F5B"/>
    <w:rsid w:val="0064687C"/>
    <w:rsid w:val="0065546F"/>
    <w:rsid w:val="0066439E"/>
    <w:rsid w:val="0066649B"/>
    <w:rsid w:val="0067444D"/>
    <w:rsid w:val="0067580B"/>
    <w:rsid w:val="0069724F"/>
    <w:rsid w:val="006A0AA5"/>
    <w:rsid w:val="006A2DE9"/>
    <w:rsid w:val="006C04E0"/>
    <w:rsid w:val="006C1D02"/>
    <w:rsid w:val="006C7CEA"/>
    <w:rsid w:val="006D5F32"/>
    <w:rsid w:val="006E6287"/>
    <w:rsid w:val="006F553D"/>
    <w:rsid w:val="00723C1D"/>
    <w:rsid w:val="007537FA"/>
    <w:rsid w:val="007674EB"/>
    <w:rsid w:val="0077173C"/>
    <w:rsid w:val="00793F90"/>
    <w:rsid w:val="007A7F22"/>
    <w:rsid w:val="007C6D0B"/>
    <w:rsid w:val="007D56B6"/>
    <w:rsid w:val="00806370"/>
    <w:rsid w:val="0081063E"/>
    <w:rsid w:val="00826EF6"/>
    <w:rsid w:val="00854C13"/>
    <w:rsid w:val="008575EB"/>
    <w:rsid w:val="00862817"/>
    <w:rsid w:val="00890EF7"/>
    <w:rsid w:val="008A149D"/>
    <w:rsid w:val="008A17D4"/>
    <w:rsid w:val="008C23F8"/>
    <w:rsid w:val="00911D91"/>
    <w:rsid w:val="0093419F"/>
    <w:rsid w:val="009613B6"/>
    <w:rsid w:val="00995296"/>
    <w:rsid w:val="00995C72"/>
    <w:rsid w:val="009A29D2"/>
    <w:rsid w:val="009C3681"/>
    <w:rsid w:val="009D553E"/>
    <w:rsid w:val="009E1297"/>
    <w:rsid w:val="009F1290"/>
    <w:rsid w:val="00A05B42"/>
    <w:rsid w:val="00A27A29"/>
    <w:rsid w:val="00A57796"/>
    <w:rsid w:val="00A75560"/>
    <w:rsid w:val="00A85B86"/>
    <w:rsid w:val="00A87904"/>
    <w:rsid w:val="00A90060"/>
    <w:rsid w:val="00AD1317"/>
    <w:rsid w:val="00AF0619"/>
    <w:rsid w:val="00AF15FB"/>
    <w:rsid w:val="00AF353E"/>
    <w:rsid w:val="00AF4130"/>
    <w:rsid w:val="00B1132A"/>
    <w:rsid w:val="00B13D1E"/>
    <w:rsid w:val="00B36B8A"/>
    <w:rsid w:val="00B37874"/>
    <w:rsid w:val="00B43C1D"/>
    <w:rsid w:val="00B47C8F"/>
    <w:rsid w:val="00B52FF5"/>
    <w:rsid w:val="00B641EC"/>
    <w:rsid w:val="00B64C4F"/>
    <w:rsid w:val="00B807EE"/>
    <w:rsid w:val="00B9426A"/>
    <w:rsid w:val="00B969DA"/>
    <w:rsid w:val="00BA0CB5"/>
    <w:rsid w:val="00BA32EE"/>
    <w:rsid w:val="00BA535C"/>
    <w:rsid w:val="00BA6F98"/>
    <w:rsid w:val="00BB3F00"/>
    <w:rsid w:val="00BC72C5"/>
    <w:rsid w:val="00BD4086"/>
    <w:rsid w:val="00BD5134"/>
    <w:rsid w:val="00BD6132"/>
    <w:rsid w:val="00C02F05"/>
    <w:rsid w:val="00C209E7"/>
    <w:rsid w:val="00C2361A"/>
    <w:rsid w:val="00C30947"/>
    <w:rsid w:val="00C31783"/>
    <w:rsid w:val="00C462B7"/>
    <w:rsid w:val="00C8257F"/>
    <w:rsid w:val="00C90CE1"/>
    <w:rsid w:val="00C927F2"/>
    <w:rsid w:val="00CA1A96"/>
    <w:rsid w:val="00CA503D"/>
    <w:rsid w:val="00CC1898"/>
    <w:rsid w:val="00CF3D2D"/>
    <w:rsid w:val="00CF5906"/>
    <w:rsid w:val="00D1667C"/>
    <w:rsid w:val="00D16D7B"/>
    <w:rsid w:val="00D209B2"/>
    <w:rsid w:val="00D23641"/>
    <w:rsid w:val="00D64B7F"/>
    <w:rsid w:val="00D65695"/>
    <w:rsid w:val="00D73407"/>
    <w:rsid w:val="00DD1E2F"/>
    <w:rsid w:val="00DD1E98"/>
    <w:rsid w:val="00DE05D3"/>
    <w:rsid w:val="00DE32CC"/>
    <w:rsid w:val="00DE5587"/>
    <w:rsid w:val="00E10A0D"/>
    <w:rsid w:val="00E22927"/>
    <w:rsid w:val="00E31054"/>
    <w:rsid w:val="00E36A5F"/>
    <w:rsid w:val="00E40282"/>
    <w:rsid w:val="00E442E1"/>
    <w:rsid w:val="00E97EA9"/>
    <w:rsid w:val="00EA2487"/>
    <w:rsid w:val="00EB3E94"/>
    <w:rsid w:val="00ED44D5"/>
    <w:rsid w:val="00ED49E3"/>
    <w:rsid w:val="00ED7693"/>
    <w:rsid w:val="00EE38AE"/>
    <w:rsid w:val="00EE6683"/>
    <w:rsid w:val="00EF28CB"/>
    <w:rsid w:val="00F02F83"/>
    <w:rsid w:val="00F1509F"/>
    <w:rsid w:val="00F25DC7"/>
    <w:rsid w:val="00F35312"/>
    <w:rsid w:val="00F50FB8"/>
    <w:rsid w:val="00F53D26"/>
    <w:rsid w:val="00F61A52"/>
    <w:rsid w:val="00F73A85"/>
    <w:rsid w:val="00F90139"/>
    <w:rsid w:val="00F92DC0"/>
    <w:rsid w:val="00FB2580"/>
    <w:rsid w:val="00FC3901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8ADA061"/>
  <w15:chartTrackingRefBased/>
  <w15:docId w15:val="{C4D7F426-1011-4982-9884-B2B8AC41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C8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rsid w:val="005750C8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5750C8"/>
    <w:pPr>
      <w:jc w:val="left"/>
    </w:pPr>
  </w:style>
  <w:style w:type="character" w:customStyle="1" w:styleId="a5">
    <w:name w:val="コメント文字列 (文字)"/>
    <w:link w:val="a4"/>
    <w:semiHidden/>
    <w:rsid w:val="005750C8"/>
    <w:rPr>
      <w:rFonts w:ascii="ＭＳ ゴシック" w:eastAsia="ＭＳ ゴシック" w:hAnsi="Century"/>
      <w:kern w:val="2"/>
      <w:sz w:val="21"/>
      <w:szCs w:val="24"/>
      <w:lang w:val="en-US" w:eastAsia="ja-JP" w:bidi="ar-SA"/>
    </w:rPr>
  </w:style>
  <w:style w:type="paragraph" w:styleId="a6">
    <w:name w:val="Balloon Text"/>
    <w:basedOn w:val="a"/>
    <w:semiHidden/>
    <w:rsid w:val="005750C8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4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4882"/>
    <w:rPr>
      <w:rFonts w:ascii="ＭＳ ゴシック" w:eastAsia="ＭＳ ゴシック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748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4882"/>
    <w:rPr>
      <w:rFonts w:ascii="ＭＳ ゴシック" w:eastAsia="ＭＳ ゴシック"/>
      <w:kern w:val="2"/>
      <w:sz w:val="21"/>
      <w:szCs w:val="24"/>
    </w:rPr>
  </w:style>
  <w:style w:type="paragraph" w:styleId="ab">
    <w:name w:val="Revision"/>
    <w:hidden/>
    <w:uiPriority w:val="99"/>
    <w:semiHidden/>
    <w:rsid w:val="00EA2487"/>
    <w:rPr>
      <w:rFonts w:ascii="ＭＳ ゴシック" w:eastAsia="ＭＳ ゴシック"/>
      <w:kern w:val="2"/>
      <w:sz w:val="21"/>
      <w:szCs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351A1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3351A1"/>
    <w:rPr>
      <w:rFonts w:ascii="ＭＳ ゴシック" w:eastAsia="ＭＳ ゴシック" w:hAnsi="Century"/>
      <w:b/>
      <w:bCs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後発品データ（案）　　　　　　　　　　　　　　　　　　　　　　　　　　　　　　　　　2010/04/01</vt:lpstr>
      <vt:lpstr>製剤別　後発品データ（案）　　　　　　　　　　　　　　　　　　　　　　　　　　　　　　　　　2010/04/01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後発品データ（案）　　　　　　　　　　　　　　　　　　　　　　　　　　　　　　　　　2010/04/01</dc:title>
  <dc:subject/>
  <dc:creator>skk</dc:creator>
  <cp:keywords/>
  <cp:lastModifiedBy>矢倉 悠希</cp:lastModifiedBy>
  <cp:revision>3</cp:revision>
  <dcterms:created xsi:type="dcterms:W3CDTF">2025-03-17T08:06:00Z</dcterms:created>
  <dcterms:modified xsi:type="dcterms:W3CDTF">2025-03-18T06:14:00Z</dcterms:modified>
</cp:coreProperties>
</file>