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E79B" w14:textId="2C809DFD" w:rsidR="00242D21" w:rsidRPr="005315A1" w:rsidRDefault="002847B6" w:rsidP="00242D21">
      <w:pPr>
        <w:rPr>
          <w:color w:val="000000"/>
          <w:sz w:val="20"/>
          <w:szCs w:val="20"/>
        </w:rPr>
      </w:pPr>
      <w:r w:rsidRPr="005315A1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315A1" w:rsidRPr="005315A1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986"/>
        <w:gridCol w:w="1522"/>
        <w:gridCol w:w="8"/>
        <w:gridCol w:w="1530"/>
        <w:gridCol w:w="1531"/>
        <w:gridCol w:w="1439"/>
      </w:tblGrid>
      <w:tr w:rsidR="00242D21" w:rsidRPr="005315A1" w14:paraId="4147E1AF" w14:textId="77777777" w:rsidTr="009A008C">
        <w:tc>
          <w:tcPr>
            <w:tcW w:w="1532" w:type="dxa"/>
            <w:shd w:val="clear" w:color="auto" w:fill="auto"/>
            <w:vAlign w:val="center"/>
          </w:tcPr>
          <w:p w14:paraId="117302F9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0445BFE3" w14:textId="77777777" w:rsidR="00242D21" w:rsidRPr="005315A1" w:rsidRDefault="00B468D8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02DF0823" w14:textId="77777777" w:rsidR="00242D21" w:rsidRPr="005315A1" w:rsidRDefault="00A96943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5315A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5315A1" w14:paraId="20AC451D" w14:textId="77777777" w:rsidTr="009A008C">
        <w:tc>
          <w:tcPr>
            <w:tcW w:w="1532" w:type="dxa"/>
            <w:shd w:val="clear" w:color="auto" w:fill="auto"/>
            <w:vAlign w:val="center"/>
          </w:tcPr>
          <w:p w14:paraId="7DA9CE8A" w14:textId="77777777" w:rsidR="004A7134" w:rsidRPr="005315A1" w:rsidRDefault="004A7134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76657E6A" w14:textId="77777777" w:rsidR="004A7134" w:rsidRPr="005315A1" w:rsidRDefault="002F031F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  <w:lang w:eastAsia="zh-CN"/>
              </w:rPr>
              <w:t>株式会社</w:t>
            </w:r>
            <w:r w:rsidR="004A7134" w:rsidRPr="005315A1">
              <w:rPr>
                <w:rFonts w:hint="eastAsia"/>
                <w:color w:val="000000"/>
                <w:sz w:val="20"/>
                <w:szCs w:val="20"/>
                <w:lang w:eastAsia="zh-CN"/>
              </w:rPr>
              <w:t>三和化学研究所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2EAF9322" w14:textId="0048216F" w:rsidR="004A7134" w:rsidRPr="00E4127E" w:rsidRDefault="004A7134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4A7134" w:rsidRPr="005315A1" w14:paraId="0B2A5FD0" w14:textId="77777777" w:rsidTr="009A008C">
        <w:tc>
          <w:tcPr>
            <w:tcW w:w="1532" w:type="dxa"/>
            <w:shd w:val="clear" w:color="auto" w:fill="auto"/>
            <w:vAlign w:val="center"/>
          </w:tcPr>
          <w:p w14:paraId="0BE42123" w14:textId="77777777" w:rsidR="004A7134" w:rsidRPr="005315A1" w:rsidRDefault="004A7134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49D7E6A6" w14:textId="77777777" w:rsidR="004A7134" w:rsidRPr="005315A1" w:rsidRDefault="000C6D10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アセトアミノフェン錠200mg「三和」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7AB84B36" w14:textId="6A374709" w:rsidR="004A7134" w:rsidRPr="005315A1" w:rsidRDefault="004A7134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47B6" w:rsidRPr="005315A1" w14:paraId="58CAB271" w14:textId="77777777" w:rsidTr="009A008C">
        <w:tc>
          <w:tcPr>
            <w:tcW w:w="1532" w:type="dxa"/>
            <w:shd w:val="clear" w:color="auto" w:fill="auto"/>
            <w:vAlign w:val="center"/>
          </w:tcPr>
          <w:p w14:paraId="73AA7884" w14:textId="77777777" w:rsidR="002847B6" w:rsidRPr="005315A1" w:rsidRDefault="002847B6" w:rsidP="002847B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6DDE4481" w14:textId="6C07BC01" w:rsidR="002847B6" w:rsidRPr="005315A1" w:rsidRDefault="005315A1" w:rsidP="002847B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</w:rPr>
              <w:t>1錠：6.10円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02F70014" w14:textId="5692CFC0" w:rsidR="002847B6" w:rsidRPr="005315A1" w:rsidRDefault="005315A1" w:rsidP="002847B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</w:rPr>
              <w:t>1錠：6.70円</w:t>
            </w:r>
          </w:p>
        </w:tc>
      </w:tr>
      <w:tr w:rsidR="00242D21" w:rsidRPr="005315A1" w14:paraId="1EA260CD" w14:textId="77777777" w:rsidTr="009A008C">
        <w:trPr>
          <w:trHeight w:val="102"/>
        </w:trPr>
        <w:tc>
          <w:tcPr>
            <w:tcW w:w="1532" w:type="dxa"/>
            <w:shd w:val="clear" w:color="auto" w:fill="auto"/>
            <w:vAlign w:val="center"/>
          </w:tcPr>
          <w:p w14:paraId="732C7536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16" w:type="dxa"/>
            <w:gridSpan w:val="6"/>
            <w:shd w:val="clear" w:color="auto" w:fill="auto"/>
            <w:vAlign w:val="center"/>
          </w:tcPr>
          <w:p w14:paraId="0B99997F" w14:textId="77777777" w:rsidR="00242D21" w:rsidRPr="005315A1" w:rsidRDefault="009D7F72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アセトアミノフェン</w:t>
            </w:r>
          </w:p>
        </w:tc>
      </w:tr>
      <w:tr w:rsidR="00242D21" w:rsidRPr="005315A1" w14:paraId="541E2277" w14:textId="77777777" w:rsidTr="009A008C">
        <w:tc>
          <w:tcPr>
            <w:tcW w:w="1532" w:type="dxa"/>
            <w:shd w:val="clear" w:color="auto" w:fill="auto"/>
            <w:vAlign w:val="center"/>
          </w:tcPr>
          <w:p w14:paraId="56684CC6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16" w:type="dxa"/>
            <w:gridSpan w:val="6"/>
            <w:shd w:val="clear" w:color="auto" w:fill="auto"/>
            <w:vAlign w:val="center"/>
          </w:tcPr>
          <w:p w14:paraId="7A561986" w14:textId="77777777" w:rsidR="00242D21" w:rsidRPr="005315A1" w:rsidRDefault="00D82643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E37AB3" w:rsidRPr="005315A1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9D7F72" w:rsidRPr="005315A1">
              <w:rPr>
                <w:rFonts w:hint="eastAsia"/>
                <w:color w:val="000000"/>
                <w:sz w:val="20"/>
                <w:szCs w:val="20"/>
              </w:rPr>
              <w:t>アセトアミノフェン200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5315A1" w14:paraId="623F98F0" w14:textId="77777777" w:rsidTr="009A008C">
        <w:tc>
          <w:tcPr>
            <w:tcW w:w="1532" w:type="dxa"/>
            <w:shd w:val="clear" w:color="auto" w:fill="auto"/>
            <w:vAlign w:val="center"/>
          </w:tcPr>
          <w:p w14:paraId="231D0194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16" w:type="dxa"/>
            <w:gridSpan w:val="6"/>
            <w:shd w:val="clear" w:color="auto" w:fill="auto"/>
            <w:vAlign w:val="center"/>
          </w:tcPr>
          <w:p w14:paraId="2AD25625" w14:textId="77777777" w:rsidR="00242D21" w:rsidRPr="005315A1" w:rsidRDefault="00B9622E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color w:val="000000"/>
                <w:sz w:val="20"/>
                <w:szCs w:val="20"/>
              </w:rPr>
              <w:t>解熱</w:t>
            </w:r>
            <w:r w:rsidR="009D7F72" w:rsidRPr="005315A1">
              <w:rPr>
                <w:color w:val="000000"/>
                <w:sz w:val="20"/>
                <w:szCs w:val="20"/>
              </w:rPr>
              <w:t>鎮痛剤</w:t>
            </w:r>
          </w:p>
        </w:tc>
      </w:tr>
      <w:tr w:rsidR="00C420B5" w:rsidRPr="005315A1" w14:paraId="53ECE4F6" w14:textId="77777777" w:rsidTr="00644947">
        <w:tc>
          <w:tcPr>
            <w:tcW w:w="1532" w:type="dxa"/>
            <w:shd w:val="clear" w:color="auto" w:fill="auto"/>
          </w:tcPr>
          <w:p w14:paraId="3CDB24AD" w14:textId="77777777" w:rsidR="00C420B5" w:rsidRPr="005315A1" w:rsidRDefault="00C420B5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724EA8" w:rsidRPr="005315A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16" w:type="dxa"/>
            <w:gridSpan w:val="6"/>
            <w:shd w:val="clear" w:color="auto" w:fill="auto"/>
          </w:tcPr>
          <w:p w14:paraId="3E1AD37E" w14:textId="77777777" w:rsidR="00C420B5" w:rsidRPr="005315A1" w:rsidRDefault="00A11869" w:rsidP="00C420B5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C420B5" w:rsidRPr="005315A1">
              <w:rPr>
                <w:rFonts w:hAnsi="ＭＳ ゴシック" w:hint="eastAsia"/>
                <w:color w:val="000000"/>
                <w:sz w:val="20"/>
                <w:szCs w:val="20"/>
              </w:rPr>
              <w:t>各種疾患及び症状における鎮痛</w:t>
            </w:r>
          </w:p>
          <w:p w14:paraId="26307007" w14:textId="77777777" w:rsidR="00C420B5" w:rsidRPr="005315A1" w:rsidRDefault="00A11869" w:rsidP="00C420B5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C420B5" w:rsidRPr="005315A1">
              <w:rPr>
                <w:rFonts w:hAnsi="ＭＳ ゴシック" w:hint="eastAsia"/>
                <w:color w:val="000000"/>
                <w:sz w:val="20"/>
                <w:szCs w:val="20"/>
              </w:rPr>
              <w:t>下記疾患の解熱・鎮痛</w:t>
            </w:r>
          </w:p>
          <w:p w14:paraId="2B467B8F" w14:textId="77777777" w:rsidR="00C420B5" w:rsidRPr="005315A1" w:rsidRDefault="00C420B5" w:rsidP="00C420B5">
            <w:pPr>
              <w:spacing w:line="28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急性上気道炎（急性気管支炎を伴う急性上気道炎を含む）</w:t>
            </w:r>
          </w:p>
          <w:p w14:paraId="49FEED92" w14:textId="77777777" w:rsidR="00C420B5" w:rsidRPr="005315A1" w:rsidRDefault="00A11869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C420B5" w:rsidRPr="005315A1">
              <w:rPr>
                <w:rFonts w:hAnsi="ＭＳ ゴシック" w:hint="eastAsia"/>
                <w:color w:val="000000"/>
                <w:sz w:val="20"/>
                <w:szCs w:val="20"/>
              </w:rPr>
              <w:t>小児科領域における解熱・鎮痛</w:t>
            </w:r>
          </w:p>
        </w:tc>
      </w:tr>
      <w:tr w:rsidR="00C420B5" w:rsidRPr="005315A1" w14:paraId="23B786D6" w14:textId="77777777" w:rsidTr="00644947">
        <w:trPr>
          <w:trHeight w:val="667"/>
        </w:trPr>
        <w:tc>
          <w:tcPr>
            <w:tcW w:w="1532" w:type="dxa"/>
            <w:shd w:val="clear" w:color="auto" w:fill="auto"/>
          </w:tcPr>
          <w:p w14:paraId="421892ED" w14:textId="77777777" w:rsidR="00C420B5" w:rsidRPr="005315A1" w:rsidRDefault="00C420B5" w:rsidP="00CD34F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724EA8" w:rsidRPr="005315A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16" w:type="dxa"/>
            <w:gridSpan w:val="6"/>
            <w:shd w:val="clear" w:color="auto" w:fill="auto"/>
          </w:tcPr>
          <w:p w14:paraId="43C9549B" w14:textId="77777777" w:rsidR="00C420B5" w:rsidRPr="005315A1" w:rsidRDefault="00C420B5" w:rsidP="00C420B5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&lt;各種疾患及び症状における鎮痛</w:t>
            </w:r>
            <w:r w:rsidRPr="005315A1">
              <w:rPr>
                <w:rFonts w:hAnsi="ＭＳ ゴシック"/>
                <w:color w:val="000000"/>
                <w:sz w:val="20"/>
                <w:szCs w:val="20"/>
              </w:rPr>
              <w:t>&gt;</w:t>
            </w:r>
          </w:p>
          <w:p w14:paraId="1DBF953A" w14:textId="77777777" w:rsidR="00C420B5" w:rsidRPr="005315A1" w:rsidRDefault="00C420B5" w:rsidP="00C420B5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通常、成人にはアセトアミノフェンとして、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300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1000m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を経口投与し、投与間隔は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時間以上とする。なお、年齢、症状により適宜増減するが、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日総量として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4000m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を限度とする。また、空腹時の投与は避けさせることが望ましい。</w:t>
            </w:r>
          </w:p>
          <w:p w14:paraId="59CCA085" w14:textId="77777777" w:rsidR="00C420B5" w:rsidRPr="005315A1" w:rsidRDefault="00C420B5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color w:val="000000"/>
                <w:sz w:val="20"/>
                <w:szCs w:val="20"/>
              </w:rPr>
              <w:t>&lt;急性上気道炎（急性気管支炎を伴う急性上気道炎を含む）&gt;</w:t>
            </w:r>
          </w:p>
          <w:p w14:paraId="1A36EEFA" w14:textId="77777777" w:rsidR="00C420B5" w:rsidRPr="005315A1" w:rsidRDefault="00C420B5" w:rsidP="00C420B5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通常、成人にはアセトアミノフェンとして、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300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500m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を頓用する。なお、年齢、症状により適宜増減する。ただし、原則として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2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回までとし、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日最大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1500m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を限度とする。また、空腹時の投与は避けさせることが望ましい。</w:t>
            </w:r>
          </w:p>
          <w:p w14:paraId="487AAC6F" w14:textId="77777777" w:rsidR="00C420B5" w:rsidRPr="005315A1" w:rsidRDefault="00C420B5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&lt;小児科領域における解熱・鎮痛</w:t>
            </w:r>
            <w:r w:rsidRPr="005315A1">
              <w:rPr>
                <w:color w:val="000000"/>
                <w:sz w:val="20"/>
                <w:szCs w:val="20"/>
              </w:rPr>
              <w:t>&gt;</w:t>
            </w:r>
          </w:p>
          <w:p w14:paraId="25360055" w14:textId="77777777" w:rsidR="00C420B5" w:rsidRPr="005315A1" w:rsidRDefault="00C420B5" w:rsidP="00C420B5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通常、幼児及び小児にはアセトアミノフェンとして、体重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1k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ShinGoPro-Light" w:hint="eastAsia"/>
                <w:color w:val="000000"/>
                <w:kern w:val="0"/>
                <w:sz w:val="20"/>
                <w:szCs w:val="20"/>
              </w:rPr>
              <w:t>あたり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ShinGoPro-Light" w:hint="eastAsia"/>
                <w:color w:val="000000"/>
                <w:kern w:val="0"/>
                <w:sz w:val="20"/>
                <w:szCs w:val="20"/>
              </w:rPr>
              <w:t>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10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15m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を経口投与し、投与間隔は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時間以上とする。なお、年齢、症状により適宜増減するが、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日総量として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60m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g/</w:t>
            </w:r>
            <w:r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k</w:t>
            </w:r>
            <w:r w:rsidRPr="005315A1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を限度とする。ただし、成人の用量を超えない。また、空腹時の投与は避けさせることが望ましい。</w:t>
            </w:r>
          </w:p>
        </w:tc>
      </w:tr>
      <w:tr w:rsidR="00242D21" w:rsidRPr="005315A1" w14:paraId="1CA808B1" w14:textId="77777777" w:rsidTr="009A008C">
        <w:tc>
          <w:tcPr>
            <w:tcW w:w="1532" w:type="dxa"/>
            <w:shd w:val="clear" w:color="auto" w:fill="auto"/>
          </w:tcPr>
          <w:p w14:paraId="52BC7DEF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724EA8" w:rsidRPr="005315A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24380A86" w14:textId="77777777" w:rsidR="00242D21" w:rsidRPr="005315A1" w:rsidRDefault="009D7F72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color w:val="000000"/>
                <w:sz w:val="20"/>
                <w:szCs w:val="20"/>
              </w:rPr>
              <w:t>ヒドロキシプロピルセルロース、無水ケイ酸、ステアリン酸</w:t>
            </w:r>
            <w:r w:rsidR="009A008C" w:rsidRPr="005315A1">
              <w:rPr>
                <w:rFonts w:hint="eastAsia"/>
                <w:color w:val="000000"/>
                <w:sz w:val="20"/>
                <w:szCs w:val="20"/>
              </w:rPr>
              <w:t>Mg</w:t>
            </w:r>
            <w:r w:rsidRPr="005315A1">
              <w:rPr>
                <w:color w:val="000000"/>
                <w:sz w:val="20"/>
                <w:szCs w:val="20"/>
              </w:rPr>
              <w:t>、</w:t>
            </w:r>
            <w:r w:rsidR="000E6770" w:rsidRPr="005315A1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l-</w:t>
            </w:r>
            <w:r w:rsidR="000E6770" w:rsidRPr="005315A1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メントール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72909575" w14:textId="3874D971" w:rsidR="00242D21" w:rsidRDefault="00242D21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75C68A8E" w14:textId="77777777" w:rsidR="00F31147" w:rsidRDefault="00F31147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4F88236" w14:textId="45052CB3" w:rsidR="00F31147" w:rsidRPr="005315A1" w:rsidRDefault="00F31147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A008C" w:rsidRPr="005315A1" w14:paraId="3F2B91B8" w14:textId="77777777" w:rsidTr="009A008C">
        <w:tc>
          <w:tcPr>
            <w:tcW w:w="1532" w:type="dxa"/>
            <w:vMerge w:val="restart"/>
            <w:shd w:val="clear" w:color="auto" w:fill="auto"/>
          </w:tcPr>
          <w:p w14:paraId="7562352E" w14:textId="77777777" w:rsidR="00242D21" w:rsidRPr="005315A1" w:rsidRDefault="002F031F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5315A1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9F1F78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A871EE1" w14:textId="77777777" w:rsidR="00242D21" w:rsidRPr="005315A1" w:rsidRDefault="007964DC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5315A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B860E0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69419F" w14:textId="77777777" w:rsidR="00242D21" w:rsidRPr="005315A1" w:rsidRDefault="007964DC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5315A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9075F34" w14:textId="77777777" w:rsidR="001627C3" w:rsidRPr="005315A1" w:rsidRDefault="002F031F" w:rsidP="001627C3">
            <w:pPr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5315A1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1627C3" w:rsidRPr="005315A1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ADC440E" w14:textId="77777777" w:rsidR="00242D21" w:rsidRPr="005315A1" w:rsidRDefault="001627C3" w:rsidP="001627C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9A008C" w:rsidRPr="005315A1" w14:paraId="2C2B5390" w14:textId="77777777" w:rsidTr="009A008C">
        <w:trPr>
          <w:trHeight w:val="1062"/>
        </w:trPr>
        <w:tc>
          <w:tcPr>
            <w:tcW w:w="1532" w:type="dxa"/>
            <w:vMerge/>
            <w:shd w:val="clear" w:color="auto" w:fill="auto"/>
          </w:tcPr>
          <w:p w14:paraId="0582285F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14:paraId="6D5386E5" w14:textId="77777777" w:rsidR="002F678B" w:rsidRPr="005315A1" w:rsidRDefault="000C6D10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アセトアミノフェン錠200mg「三和」</w:t>
            </w:r>
          </w:p>
          <w:p w14:paraId="386AFCD9" w14:textId="77777777" w:rsidR="00C7154F" w:rsidRPr="005315A1" w:rsidRDefault="009D7F72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白</w:t>
            </w:r>
            <w:r w:rsidR="002F678B" w:rsidRPr="005315A1">
              <w:rPr>
                <w:rFonts w:hint="eastAsia"/>
                <w:color w:val="000000"/>
                <w:sz w:val="20"/>
                <w:szCs w:val="20"/>
              </w:rPr>
              <w:t>色</w:t>
            </w:r>
            <w:r w:rsidR="006119B4" w:rsidRPr="005315A1">
              <w:rPr>
                <w:rFonts w:hint="eastAsia"/>
                <w:color w:val="000000"/>
                <w:sz w:val="20"/>
                <w:szCs w:val="20"/>
              </w:rPr>
              <w:t>割線入り</w:t>
            </w:r>
            <w:r w:rsidR="003C5387" w:rsidRPr="005315A1">
              <w:rPr>
                <w:rFonts w:hint="eastAsia"/>
                <w:color w:val="000000"/>
                <w:sz w:val="20"/>
                <w:szCs w:val="20"/>
              </w:rPr>
              <w:t>素錠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B72DBD5" w14:textId="77777777" w:rsidR="00242D21" w:rsidRPr="005315A1" w:rsidRDefault="00170EEF" w:rsidP="00CD77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9F1D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.75pt">
                  <v:imagedata r:id="rId7" o:title=""/>
                </v:shape>
              </w:pict>
            </w:r>
          </w:p>
          <w:p w14:paraId="006873C4" w14:textId="77777777" w:rsidR="00242D21" w:rsidRPr="005315A1" w:rsidRDefault="009D7F72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8.5</w:t>
            </w:r>
            <w:r w:rsidR="000B5A96" w:rsidRPr="005315A1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2DE392" w14:textId="77777777" w:rsidR="00242D21" w:rsidRPr="005315A1" w:rsidRDefault="00170EEF" w:rsidP="00CD77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E2128F5">
                <v:shape id="_x0000_i1026" type="#_x0000_t75" style="width:40.5pt;height:37.5pt">
                  <v:imagedata r:id="rId8" o:title=""/>
                </v:shape>
              </w:pict>
            </w:r>
          </w:p>
          <w:p w14:paraId="758028CF" w14:textId="77777777" w:rsidR="00242D21" w:rsidRPr="005315A1" w:rsidRDefault="009D7F72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AA9472" w14:textId="77777777" w:rsidR="00E454C3" w:rsidRPr="005315A1" w:rsidRDefault="00170EEF" w:rsidP="00CD77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92D194B">
                <v:shape id="_x0000_i1027" type="#_x0000_t75" style="width:42.75pt;height:38.25pt">
                  <v:imagedata r:id="rId9" o:title=""/>
                </v:shape>
              </w:pict>
            </w:r>
          </w:p>
          <w:p w14:paraId="3B0DAE02" w14:textId="77777777" w:rsidR="00242D21" w:rsidRPr="005315A1" w:rsidRDefault="009D7F72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3.4</w:t>
            </w:r>
            <w:r w:rsidR="000B5A96" w:rsidRPr="005315A1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6D95F57" w14:textId="77777777" w:rsidR="00242D21" w:rsidRPr="005315A1" w:rsidRDefault="002F678B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Sc</w:t>
            </w:r>
            <w:r w:rsidR="009D7F72" w:rsidRPr="005315A1"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</w:tr>
      <w:tr w:rsidR="009A008C" w:rsidRPr="005315A1" w14:paraId="27BDC33F" w14:textId="77777777" w:rsidTr="009A008C">
        <w:trPr>
          <w:trHeight w:val="1120"/>
        </w:trPr>
        <w:tc>
          <w:tcPr>
            <w:tcW w:w="1532" w:type="dxa"/>
            <w:vMerge/>
            <w:shd w:val="clear" w:color="auto" w:fill="auto"/>
          </w:tcPr>
          <w:p w14:paraId="153195AE" w14:textId="77777777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14:paraId="23E658BB" w14:textId="30E941BB" w:rsidR="00E37AB3" w:rsidRPr="005315A1" w:rsidRDefault="00E4127E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F97A81E" w14:textId="0540D7EE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5AE8A35" w14:textId="3520B3AD" w:rsidR="00242D21" w:rsidRPr="005315A1" w:rsidRDefault="00242D21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22C6D" w14:textId="624CBDF8" w:rsidR="00E37AB3" w:rsidRPr="005315A1" w:rsidRDefault="00E37AB3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1F383F" w14:textId="61B11A59" w:rsidR="00E37AB3" w:rsidRPr="005315A1" w:rsidRDefault="00E37AB3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387" w:rsidRPr="005315A1" w14:paraId="045DD573" w14:textId="77777777" w:rsidTr="000C6D10">
        <w:tblPrEx>
          <w:tblCellMar>
            <w:left w:w="99" w:type="dxa"/>
            <w:right w:w="99" w:type="dxa"/>
          </w:tblCellMar>
        </w:tblPrEx>
        <w:trPr>
          <w:trHeight w:val="3879"/>
        </w:trPr>
        <w:tc>
          <w:tcPr>
            <w:tcW w:w="1532" w:type="dxa"/>
            <w:shd w:val="clear" w:color="auto" w:fill="auto"/>
          </w:tcPr>
          <w:p w14:paraId="35F81331" w14:textId="77777777" w:rsidR="003C5387" w:rsidRPr="005315A1" w:rsidRDefault="003C5387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9050756" w14:textId="77777777" w:rsidR="003C5387" w:rsidRPr="005315A1" w:rsidRDefault="003C5387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16" w:type="dxa"/>
            <w:gridSpan w:val="6"/>
            <w:shd w:val="clear" w:color="auto" w:fill="auto"/>
          </w:tcPr>
          <w:p w14:paraId="20F71B20" w14:textId="77777777" w:rsidR="003C5387" w:rsidRPr="005315A1" w:rsidRDefault="000C6D10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アセトアミノフェン錠200mg「三和」</w:t>
            </w:r>
            <w:r w:rsidR="003C5387" w:rsidRPr="005315A1">
              <w:rPr>
                <w:rFonts w:hint="eastAsia"/>
                <w:color w:val="000000"/>
                <w:sz w:val="20"/>
                <w:szCs w:val="20"/>
              </w:rPr>
              <w:t>は、「規格及び試験方法」に公的溶出試験規格が設定され承認された。</w:t>
            </w:r>
            <w:r w:rsidR="003C5387" w:rsidRPr="005315A1">
              <w:rPr>
                <w:color w:val="000000"/>
                <w:sz w:val="20"/>
                <w:szCs w:val="20"/>
              </w:rPr>
              <w:t>(</w:t>
            </w:r>
            <w:r w:rsidR="003C5387" w:rsidRPr="005315A1">
              <w:rPr>
                <w:rFonts w:hint="eastAsia"/>
                <w:color w:val="000000"/>
                <w:sz w:val="20"/>
                <w:szCs w:val="20"/>
              </w:rPr>
              <w:t>オレンジブック総合版に掲載</w:t>
            </w:r>
            <w:r w:rsidR="003C5387" w:rsidRPr="005315A1">
              <w:rPr>
                <w:color w:val="000000"/>
                <w:sz w:val="20"/>
                <w:szCs w:val="20"/>
              </w:rPr>
              <w:t>)</w:t>
            </w:r>
          </w:p>
          <w:p w14:paraId="42D86CE5" w14:textId="77777777" w:rsidR="003C5387" w:rsidRPr="005315A1" w:rsidRDefault="003C5387" w:rsidP="00C420B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03D677F8" w14:textId="77777777" w:rsidR="003C5387" w:rsidRPr="005315A1" w:rsidRDefault="003C5387" w:rsidP="00C420B5">
            <w:pPr>
              <w:tabs>
                <w:tab w:val="left" w:pos="4282"/>
              </w:tabs>
              <w:spacing w:line="280" w:lineRule="exact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A008C" w:rsidRPr="005315A1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="007C5124" w:rsidRPr="005315A1">
              <w:rPr>
                <w:rFonts w:hAnsi="ＭＳ ゴシック" w:hint="eastAsia"/>
                <w:color w:val="000000"/>
                <w:sz w:val="20"/>
                <w:szCs w:val="20"/>
              </w:rPr>
              <w:t>（試験液：</w:t>
            </w:r>
            <w:r w:rsidRPr="005315A1">
              <w:rPr>
                <w:rFonts w:hAnsi="ＭＳ ゴシック" w:hint="eastAsia"/>
                <w:color w:val="000000"/>
                <w:sz w:val="20"/>
                <w:szCs w:val="20"/>
              </w:rPr>
              <w:t>水）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A008C" w:rsidRPr="005315A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5315A1">
              <w:rPr>
                <w:rFonts w:hint="eastAsia"/>
                <w:color w:val="000000"/>
                <w:sz w:val="20"/>
                <w:szCs w:val="20"/>
              </w:rPr>
              <w:t xml:space="preserve">　　　　　　　　血中濃度比較試験（ヒト）</w:t>
            </w:r>
          </w:p>
          <w:p w14:paraId="55C51259" w14:textId="7BA96B42" w:rsidR="003C5387" w:rsidRPr="005315A1" w:rsidRDefault="00170EEF" w:rsidP="00071F31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1E98B67">
                <v:shape id="_x0000_i1028" type="#_x0000_t75" style="width:215.25pt;height:137.25pt">
                  <v:imagedata r:id="rId10" o:title=""/>
                </v:shape>
              </w:pict>
            </w:r>
            <w:r w:rsidR="00F3114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16A60F66">
                <v:shape id="_x0000_i1031" type="#_x0000_t75" style="width:204pt;height:138pt">
                  <v:imagedata r:id="rId11" o:title=""/>
                </v:shape>
              </w:pict>
            </w:r>
            <w:r w:rsidR="00124D41" w:rsidRPr="005315A1"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</w:t>
            </w:r>
            <w:r w:rsidR="003C5387" w:rsidRPr="005315A1"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 w:rsidR="009A008C" w:rsidRPr="005315A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3C5387" w:rsidRPr="005315A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71B7" w:rsidRPr="005315A1" w14:paraId="4EF33AEF" w14:textId="77777777" w:rsidTr="00CD77BB">
        <w:tc>
          <w:tcPr>
            <w:tcW w:w="1532" w:type="dxa"/>
            <w:shd w:val="clear" w:color="auto" w:fill="auto"/>
          </w:tcPr>
          <w:p w14:paraId="1ED24C95" w14:textId="77777777" w:rsidR="002D71B7" w:rsidRPr="005315A1" w:rsidRDefault="002D71B7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16" w:type="dxa"/>
            <w:gridSpan w:val="6"/>
            <w:shd w:val="clear" w:color="auto" w:fill="auto"/>
          </w:tcPr>
          <w:p w14:paraId="583A4844" w14:textId="77777777" w:rsidR="006119B4" w:rsidRPr="005315A1" w:rsidRDefault="006119B4" w:rsidP="006119B4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5315A1" w14:paraId="7374B881" w14:textId="77777777" w:rsidTr="00CD77BB">
        <w:trPr>
          <w:trHeight w:val="70"/>
        </w:trPr>
        <w:tc>
          <w:tcPr>
            <w:tcW w:w="1532" w:type="dxa"/>
            <w:shd w:val="clear" w:color="auto" w:fill="auto"/>
          </w:tcPr>
          <w:p w14:paraId="6428C1AE" w14:textId="77777777" w:rsidR="002D71B7" w:rsidRPr="005315A1" w:rsidRDefault="002D71B7" w:rsidP="00C420B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315A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16" w:type="dxa"/>
            <w:gridSpan w:val="6"/>
            <w:shd w:val="clear" w:color="auto" w:fill="auto"/>
          </w:tcPr>
          <w:p w14:paraId="7E5DE705" w14:textId="77777777" w:rsidR="00B8222F" w:rsidRPr="005315A1" w:rsidRDefault="00B8222F" w:rsidP="006119B4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FD71948" w14:textId="77777777" w:rsidR="0066681C" w:rsidRPr="005315A1" w:rsidRDefault="0066681C" w:rsidP="00C420B5">
      <w:pPr>
        <w:spacing w:line="40" w:lineRule="exact"/>
        <w:rPr>
          <w:color w:val="000000"/>
        </w:rPr>
      </w:pPr>
    </w:p>
    <w:sectPr w:rsidR="0066681C" w:rsidRPr="005315A1" w:rsidSect="0004170E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C884" w14:textId="77777777" w:rsidR="0015641F" w:rsidRDefault="0015641F" w:rsidP="00B8222F">
      <w:r>
        <w:separator/>
      </w:r>
    </w:p>
  </w:endnote>
  <w:endnote w:type="continuationSeparator" w:id="0">
    <w:p w14:paraId="789DFD72" w14:textId="77777777" w:rsidR="0015641F" w:rsidRDefault="0015641F" w:rsidP="00B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4A33" w14:textId="77777777" w:rsidR="0015641F" w:rsidRDefault="0015641F" w:rsidP="00B8222F">
      <w:r>
        <w:separator/>
      </w:r>
    </w:p>
  </w:footnote>
  <w:footnote w:type="continuationSeparator" w:id="0">
    <w:p w14:paraId="47718993" w14:textId="77777777" w:rsidR="0015641F" w:rsidRDefault="0015641F" w:rsidP="00B8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47E57"/>
    <w:multiLevelType w:val="multilevel"/>
    <w:tmpl w:val="20B2CF8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ＭＳ ゴシック" w:eastAsia="ＭＳ 明朝" w:hAnsi="ＭＳ ゴシック" w:hint="eastAsia"/>
        <w:b w:val="0"/>
        <w:i w:val="0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81F01"/>
    <w:multiLevelType w:val="multilevel"/>
    <w:tmpl w:val="20B2CF8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ＭＳ ゴシック" w:eastAsia="ＭＳ 明朝" w:hAnsi="ＭＳ ゴシック" w:hint="eastAsia"/>
        <w:b w:val="0"/>
        <w:i w:val="0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0D1D60"/>
    <w:multiLevelType w:val="hybridMultilevel"/>
    <w:tmpl w:val="20B2CF86"/>
    <w:lvl w:ilvl="0" w:tplc="9F46AE5E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ＭＳ ゴシック" w:eastAsia="ＭＳ 明朝" w:hAnsi="ＭＳ ゴシック" w:hint="eastAsia"/>
        <w:b w:val="0"/>
        <w:i w:val="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509445">
    <w:abstractNumId w:val="1"/>
  </w:num>
  <w:num w:numId="2" w16cid:durableId="1003779039">
    <w:abstractNumId w:val="0"/>
  </w:num>
  <w:num w:numId="3" w16cid:durableId="2088188840">
    <w:abstractNumId w:val="2"/>
  </w:num>
  <w:num w:numId="4" w16cid:durableId="1525097144">
    <w:abstractNumId w:val="3"/>
  </w:num>
  <w:num w:numId="5" w16cid:durableId="922377843">
    <w:abstractNumId w:val="4"/>
  </w:num>
  <w:num w:numId="6" w16cid:durableId="812789685">
    <w:abstractNumId w:val="8"/>
  </w:num>
  <w:num w:numId="7" w16cid:durableId="1707485909">
    <w:abstractNumId w:val="7"/>
  </w:num>
  <w:num w:numId="8" w16cid:durableId="1451781657">
    <w:abstractNumId w:val="5"/>
  </w:num>
  <w:num w:numId="9" w16cid:durableId="1953395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4170E"/>
    <w:rsid w:val="00053214"/>
    <w:rsid w:val="0005470D"/>
    <w:rsid w:val="00061A85"/>
    <w:rsid w:val="00065285"/>
    <w:rsid w:val="00071F31"/>
    <w:rsid w:val="000747A8"/>
    <w:rsid w:val="000A40BA"/>
    <w:rsid w:val="000B5A96"/>
    <w:rsid w:val="000C6D10"/>
    <w:rsid w:val="000D3791"/>
    <w:rsid w:val="000E6770"/>
    <w:rsid w:val="00106C90"/>
    <w:rsid w:val="0012108D"/>
    <w:rsid w:val="001244FE"/>
    <w:rsid w:val="00124D41"/>
    <w:rsid w:val="00141349"/>
    <w:rsid w:val="0015641F"/>
    <w:rsid w:val="001627C3"/>
    <w:rsid w:val="00170EEF"/>
    <w:rsid w:val="001936FE"/>
    <w:rsid w:val="00195950"/>
    <w:rsid w:val="001A201B"/>
    <w:rsid w:val="001A415A"/>
    <w:rsid w:val="001A6BD2"/>
    <w:rsid w:val="001C1B31"/>
    <w:rsid w:val="001D2F41"/>
    <w:rsid w:val="002235DA"/>
    <w:rsid w:val="002408C9"/>
    <w:rsid w:val="00241932"/>
    <w:rsid w:val="00242D21"/>
    <w:rsid w:val="00254980"/>
    <w:rsid w:val="00254DDB"/>
    <w:rsid w:val="00255730"/>
    <w:rsid w:val="002744E0"/>
    <w:rsid w:val="002847B6"/>
    <w:rsid w:val="002D71B7"/>
    <w:rsid w:val="002F031F"/>
    <w:rsid w:val="002F678B"/>
    <w:rsid w:val="00334D86"/>
    <w:rsid w:val="00345C48"/>
    <w:rsid w:val="00372867"/>
    <w:rsid w:val="003C0E35"/>
    <w:rsid w:val="003C5387"/>
    <w:rsid w:val="003C62FE"/>
    <w:rsid w:val="003D113D"/>
    <w:rsid w:val="003E6E56"/>
    <w:rsid w:val="003F25ED"/>
    <w:rsid w:val="00407787"/>
    <w:rsid w:val="00421EAF"/>
    <w:rsid w:val="004530A0"/>
    <w:rsid w:val="00462080"/>
    <w:rsid w:val="00482124"/>
    <w:rsid w:val="00492B06"/>
    <w:rsid w:val="00493D4C"/>
    <w:rsid w:val="004A7134"/>
    <w:rsid w:val="004B3D6C"/>
    <w:rsid w:val="004B3EE6"/>
    <w:rsid w:val="004D4F64"/>
    <w:rsid w:val="004F7F15"/>
    <w:rsid w:val="005176BA"/>
    <w:rsid w:val="005315A1"/>
    <w:rsid w:val="00531A91"/>
    <w:rsid w:val="005465C9"/>
    <w:rsid w:val="00560B32"/>
    <w:rsid w:val="005734CE"/>
    <w:rsid w:val="005C0CD7"/>
    <w:rsid w:val="005D3F72"/>
    <w:rsid w:val="005D68C9"/>
    <w:rsid w:val="005E2479"/>
    <w:rsid w:val="005E7871"/>
    <w:rsid w:val="005F675E"/>
    <w:rsid w:val="00605432"/>
    <w:rsid w:val="006119B4"/>
    <w:rsid w:val="00644947"/>
    <w:rsid w:val="00652DCB"/>
    <w:rsid w:val="0066681C"/>
    <w:rsid w:val="0068041D"/>
    <w:rsid w:val="006821E7"/>
    <w:rsid w:val="00687FAB"/>
    <w:rsid w:val="006C73B2"/>
    <w:rsid w:val="00702089"/>
    <w:rsid w:val="00724B19"/>
    <w:rsid w:val="00724EA8"/>
    <w:rsid w:val="0073167C"/>
    <w:rsid w:val="00733E94"/>
    <w:rsid w:val="007426CE"/>
    <w:rsid w:val="00760A68"/>
    <w:rsid w:val="00761494"/>
    <w:rsid w:val="00784EED"/>
    <w:rsid w:val="0078611C"/>
    <w:rsid w:val="007939C1"/>
    <w:rsid w:val="007964DC"/>
    <w:rsid w:val="007A532C"/>
    <w:rsid w:val="007C5124"/>
    <w:rsid w:val="007F2BCF"/>
    <w:rsid w:val="007F731B"/>
    <w:rsid w:val="0080664F"/>
    <w:rsid w:val="0080739F"/>
    <w:rsid w:val="00815275"/>
    <w:rsid w:val="0082793A"/>
    <w:rsid w:val="0084407B"/>
    <w:rsid w:val="00851CEE"/>
    <w:rsid w:val="00872899"/>
    <w:rsid w:val="00891D63"/>
    <w:rsid w:val="008D7323"/>
    <w:rsid w:val="008E1DF4"/>
    <w:rsid w:val="009563ED"/>
    <w:rsid w:val="00963E45"/>
    <w:rsid w:val="00994365"/>
    <w:rsid w:val="009A008C"/>
    <w:rsid w:val="009C3A03"/>
    <w:rsid w:val="009D0BBD"/>
    <w:rsid w:val="009D7F72"/>
    <w:rsid w:val="009E41F6"/>
    <w:rsid w:val="009F61CE"/>
    <w:rsid w:val="009F7A84"/>
    <w:rsid w:val="00A0352A"/>
    <w:rsid w:val="00A03E25"/>
    <w:rsid w:val="00A102BF"/>
    <w:rsid w:val="00A11869"/>
    <w:rsid w:val="00A1692F"/>
    <w:rsid w:val="00A23A2D"/>
    <w:rsid w:val="00A274CF"/>
    <w:rsid w:val="00A40DF8"/>
    <w:rsid w:val="00A819EB"/>
    <w:rsid w:val="00A85ABB"/>
    <w:rsid w:val="00A96943"/>
    <w:rsid w:val="00AA11D1"/>
    <w:rsid w:val="00AA47A8"/>
    <w:rsid w:val="00AC10C7"/>
    <w:rsid w:val="00AD2AE0"/>
    <w:rsid w:val="00AF4FDA"/>
    <w:rsid w:val="00B00B95"/>
    <w:rsid w:val="00B11971"/>
    <w:rsid w:val="00B13198"/>
    <w:rsid w:val="00B15139"/>
    <w:rsid w:val="00B17B60"/>
    <w:rsid w:val="00B2391D"/>
    <w:rsid w:val="00B30FDB"/>
    <w:rsid w:val="00B322D1"/>
    <w:rsid w:val="00B419F5"/>
    <w:rsid w:val="00B426F0"/>
    <w:rsid w:val="00B468D8"/>
    <w:rsid w:val="00B55372"/>
    <w:rsid w:val="00B65E60"/>
    <w:rsid w:val="00B8222F"/>
    <w:rsid w:val="00B868CC"/>
    <w:rsid w:val="00B951CD"/>
    <w:rsid w:val="00B9622E"/>
    <w:rsid w:val="00BA0926"/>
    <w:rsid w:val="00BA1D65"/>
    <w:rsid w:val="00BA6342"/>
    <w:rsid w:val="00BC1E3B"/>
    <w:rsid w:val="00BC3BB7"/>
    <w:rsid w:val="00BC6136"/>
    <w:rsid w:val="00BD042B"/>
    <w:rsid w:val="00BD1EF2"/>
    <w:rsid w:val="00C06615"/>
    <w:rsid w:val="00C16CAF"/>
    <w:rsid w:val="00C21160"/>
    <w:rsid w:val="00C24625"/>
    <w:rsid w:val="00C2643E"/>
    <w:rsid w:val="00C33543"/>
    <w:rsid w:val="00C3608D"/>
    <w:rsid w:val="00C420B5"/>
    <w:rsid w:val="00C4611D"/>
    <w:rsid w:val="00C61A36"/>
    <w:rsid w:val="00C7154F"/>
    <w:rsid w:val="00C9206C"/>
    <w:rsid w:val="00C929B2"/>
    <w:rsid w:val="00CC616C"/>
    <w:rsid w:val="00CC7AD4"/>
    <w:rsid w:val="00CD34F4"/>
    <w:rsid w:val="00CD42D5"/>
    <w:rsid w:val="00CD4AA3"/>
    <w:rsid w:val="00CD77BB"/>
    <w:rsid w:val="00CF6C8B"/>
    <w:rsid w:val="00D00C8A"/>
    <w:rsid w:val="00D02658"/>
    <w:rsid w:val="00D0577D"/>
    <w:rsid w:val="00D0765D"/>
    <w:rsid w:val="00D36E80"/>
    <w:rsid w:val="00D57DDF"/>
    <w:rsid w:val="00D70A22"/>
    <w:rsid w:val="00D82643"/>
    <w:rsid w:val="00D97AA5"/>
    <w:rsid w:val="00DA6AE6"/>
    <w:rsid w:val="00DC3C31"/>
    <w:rsid w:val="00DF1224"/>
    <w:rsid w:val="00E10844"/>
    <w:rsid w:val="00E10997"/>
    <w:rsid w:val="00E2642B"/>
    <w:rsid w:val="00E37AB3"/>
    <w:rsid w:val="00E4127E"/>
    <w:rsid w:val="00E454C3"/>
    <w:rsid w:val="00E46BF9"/>
    <w:rsid w:val="00E86B1A"/>
    <w:rsid w:val="00EB2F36"/>
    <w:rsid w:val="00EC3CE9"/>
    <w:rsid w:val="00ED37D0"/>
    <w:rsid w:val="00EE34FB"/>
    <w:rsid w:val="00EE408C"/>
    <w:rsid w:val="00F2302B"/>
    <w:rsid w:val="00F307FB"/>
    <w:rsid w:val="00F31147"/>
    <w:rsid w:val="00F3549D"/>
    <w:rsid w:val="00F36EF1"/>
    <w:rsid w:val="00F55E62"/>
    <w:rsid w:val="00F5640F"/>
    <w:rsid w:val="00F63482"/>
    <w:rsid w:val="00F67716"/>
    <w:rsid w:val="00F705F6"/>
    <w:rsid w:val="00F77C2C"/>
    <w:rsid w:val="00FD35F6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F19BA7F"/>
  <w15:chartTrackingRefBased/>
  <w15:docId w15:val="{09874CF2-351C-4355-85E5-0B46280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B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222F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2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222F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724EA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SKK</cp:lastModifiedBy>
  <cp:revision>6</cp:revision>
  <cp:lastPrinted>2004-03-01T05:35:00Z</cp:lastPrinted>
  <dcterms:created xsi:type="dcterms:W3CDTF">2025-03-17T08:01:00Z</dcterms:created>
  <dcterms:modified xsi:type="dcterms:W3CDTF">2025-03-24T09:08:00Z</dcterms:modified>
</cp:coreProperties>
</file>