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7F67" w14:textId="39BA212B" w:rsidR="00B64CBB" w:rsidRPr="00C0517B" w:rsidRDefault="001259FB" w:rsidP="00B64CBB">
      <w:pPr>
        <w:rPr>
          <w:color w:val="000000"/>
          <w:sz w:val="20"/>
          <w:szCs w:val="20"/>
        </w:rPr>
      </w:pPr>
      <w:r w:rsidRPr="00C0517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C0517B" w:rsidRPr="00C0517B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476"/>
        <w:gridCol w:w="4476"/>
      </w:tblGrid>
      <w:tr w:rsidR="00242D21" w:rsidRPr="00C0517B" w14:paraId="67F7E986" w14:textId="77777777" w:rsidTr="008D59E2">
        <w:tc>
          <w:tcPr>
            <w:tcW w:w="1504" w:type="dxa"/>
            <w:shd w:val="clear" w:color="auto" w:fill="auto"/>
            <w:vAlign w:val="center"/>
          </w:tcPr>
          <w:p w14:paraId="539C807D" w14:textId="77777777" w:rsidR="00242D21" w:rsidRPr="00C0517B" w:rsidRDefault="00242D21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  <w:vAlign w:val="center"/>
          </w:tcPr>
          <w:p w14:paraId="35FA0ECE" w14:textId="77777777" w:rsidR="00242D21" w:rsidRPr="00C0517B" w:rsidRDefault="00961D67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5516D50B" w14:textId="77777777" w:rsidR="00242D21" w:rsidRPr="00C0517B" w:rsidRDefault="00C064AA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DC38C2" w:rsidRPr="00C0517B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C0517B" w14:paraId="53CA8E36" w14:textId="77777777" w:rsidTr="008D59E2">
        <w:tc>
          <w:tcPr>
            <w:tcW w:w="1504" w:type="dxa"/>
            <w:shd w:val="clear" w:color="auto" w:fill="auto"/>
            <w:vAlign w:val="center"/>
          </w:tcPr>
          <w:p w14:paraId="2CC6B46A" w14:textId="77777777" w:rsidR="004A7134" w:rsidRPr="00C0517B" w:rsidRDefault="004A7134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5E040E36" w14:textId="77777777" w:rsidR="004A7134" w:rsidRPr="00C0517B" w:rsidRDefault="006F21CC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4A7134" w:rsidRPr="00C0517B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5CA2274D" w14:textId="53C04CAD" w:rsidR="004A7134" w:rsidRPr="00C0517B" w:rsidRDefault="004A7134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A7134" w:rsidRPr="00C0517B" w14:paraId="1521DB90" w14:textId="77777777" w:rsidTr="008D59E2">
        <w:tc>
          <w:tcPr>
            <w:tcW w:w="1504" w:type="dxa"/>
            <w:shd w:val="clear" w:color="auto" w:fill="auto"/>
            <w:vAlign w:val="center"/>
          </w:tcPr>
          <w:p w14:paraId="1CBE9445" w14:textId="77777777" w:rsidR="004A7134" w:rsidRPr="00C0517B" w:rsidRDefault="004A7134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564AEF0F" w14:textId="77777777" w:rsidR="004A7134" w:rsidRPr="00C0517B" w:rsidRDefault="005B1A63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アセトアミノフェンDS40%「三和」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3C2040B" w14:textId="134A7C77" w:rsidR="004A7134" w:rsidRPr="00C0517B" w:rsidRDefault="004A7134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1259FB" w:rsidRPr="00C0517B" w14:paraId="1C56E6DB" w14:textId="77777777" w:rsidTr="008D59E2">
        <w:tc>
          <w:tcPr>
            <w:tcW w:w="1504" w:type="dxa"/>
            <w:shd w:val="clear" w:color="auto" w:fill="auto"/>
            <w:vAlign w:val="center"/>
          </w:tcPr>
          <w:p w14:paraId="4EF0D451" w14:textId="77777777" w:rsidR="001259FB" w:rsidRPr="00C0517B" w:rsidRDefault="001259FB" w:rsidP="001259F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080DF953" w14:textId="1B8A8360" w:rsidR="001259FB" w:rsidRPr="00C0517B" w:rsidRDefault="00C0517B" w:rsidP="001259F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int="eastAsia"/>
                <w:color w:val="000000"/>
                <w:sz w:val="20"/>
              </w:rPr>
              <w:t>40%1g：14.80円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1B22AD16" w14:textId="4F376C28" w:rsidR="001259FB" w:rsidRPr="00C0517B" w:rsidRDefault="00C0517B" w:rsidP="001259FB">
            <w:pPr>
              <w:spacing w:line="280" w:lineRule="exact"/>
              <w:jc w:val="center"/>
              <w:rPr>
                <w:rFonts w:hAnsi="ＭＳ ゴシック" w:cs="MS-Mincho"/>
                <w:color w:val="000000"/>
                <w:kern w:val="0"/>
                <w:sz w:val="20"/>
                <w:szCs w:val="20"/>
              </w:rPr>
            </w:pPr>
            <w:r w:rsidRPr="00C0517B">
              <w:rPr>
                <w:rFonts w:hint="eastAsia"/>
                <w:color w:val="000000"/>
                <w:sz w:val="20"/>
              </w:rPr>
              <w:t>20%1g：12.20円</w:t>
            </w:r>
          </w:p>
        </w:tc>
      </w:tr>
      <w:tr w:rsidR="00242D21" w:rsidRPr="00C0517B" w14:paraId="41215CE0" w14:textId="77777777" w:rsidTr="008D59E2">
        <w:tc>
          <w:tcPr>
            <w:tcW w:w="1504" w:type="dxa"/>
            <w:shd w:val="clear" w:color="auto" w:fill="auto"/>
            <w:vAlign w:val="center"/>
          </w:tcPr>
          <w:p w14:paraId="4CE32C6F" w14:textId="77777777" w:rsidR="00242D21" w:rsidRPr="00C0517B" w:rsidRDefault="00242D21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52" w:type="dxa"/>
            <w:gridSpan w:val="2"/>
            <w:shd w:val="clear" w:color="auto" w:fill="auto"/>
            <w:vAlign w:val="center"/>
          </w:tcPr>
          <w:p w14:paraId="422C861A" w14:textId="77777777" w:rsidR="00242D21" w:rsidRPr="00C0517B" w:rsidRDefault="004B226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アセトアミノフェン</w:t>
            </w:r>
          </w:p>
        </w:tc>
      </w:tr>
      <w:tr w:rsidR="009E1EF0" w:rsidRPr="00C0517B" w14:paraId="399EA87C" w14:textId="77777777" w:rsidTr="008D59E2">
        <w:trPr>
          <w:trHeight w:val="70"/>
        </w:trPr>
        <w:tc>
          <w:tcPr>
            <w:tcW w:w="1504" w:type="dxa"/>
            <w:shd w:val="clear" w:color="auto" w:fill="auto"/>
            <w:vAlign w:val="center"/>
          </w:tcPr>
          <w:p w14:paraId="37F4D784" w14:textId="77777777" w:rsidR="009E1EF0" w:rsidRPr="00C0517B" w:rsidRDefault="009E1EF0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46FCAA23" w14:textId="77777777" w:rsidR="009E1EF0" w:rsidRPr="00C0517B" w:rsidRDefault="009E1EF0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1g中「日局」アセトアミノフェン400mg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6617C99E" w14:textId="77777777" w:rsidR="009E1EF0" w:rsidRPr="00C0517B" w:rsidRDefault="009E1EF0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1g中「日局」アセトアミノフェン200mg</w:t>
            </w:r>
          </w:p>
        </w:tc>
      </w:tr>
      <w:tr w:rsidR="00242D21" w:rsidRPr="00C0517B" w14:paraId="217EBD3D" w14:textId="77777777" w:rsidTr="008D59E2">
        <w:tc>
          <w:tcPr>
            <w:tcW w:w="1504" w:type="dxa"/>
            <w:shd w:val="clear" w:color="auto" w:fill="auto"/>
            <w:vAlign w:val="center"/>
          </w:tcPr>
          <w:p w14:paraId="16B28114" w14:textId="77777777" w:rsidR="00242D21" w:rsidRPr="00C0517B" w:rsidRDefault="00242D21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52" w:type="dxa"/>
            <w:gridSpan w:val="2"/>
            <w:shd w:val="clear" w:color="auto" w:fill="auto"/>
            <w:vAlign w:val="center"/>
          </w:tcPr>
          <w:p w14:paraId="590EA28C" w14:textId="77777777" w:rsidR="00242D21" w:rsidRPr="00C0517B" w:rsidRDefault="00081CA7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/>
                <w:color w:val="000000"/>
                <w:sz w:val="20"/>
                <w:szCs w:val="20"/>
              </w:rPr>
              <w:t>解熱</w:t>
            </w:r>
            <w:r w:rsidR="00D62F86" w:rsidRPr="00C0517B">
              <w:rPr>
                <w:rFonts w:hAnsi="ＭＳ ゴシック"/>
                <w:color w:val="000000"/>
                <w:sz w:val="20"/>
                <w:szCs w:val="20"/>
              </w:rPr>
              <w:t>鎮痛剤</w:t>
            </w:r>
          </w:p>
        </w:tc>
      </w:tr>
      <w:tr w:rsidR="008D59E2" w:rsidRPr="00C0517B" w14:paraId="0BDC25B2" w14:textId="77777777" w:rsidTr="008D59E2">
        <w:tc>
          <w:tcPr>
            <w:tcW w:w="1504" w:type="dxa"/>
            <w:shd w:val="clear" w:color="auto" w:fill="auto"/>
          </w:tcPr>
          <w:p w14:paraId="162E819D" w14:textId="77777777" w:rsidR="008D59E2" w:rsidRPr="00C0517B" w:rsidRDefault="008D59E2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効能</w:t>
            </w:r>
            <w:r w:rsidR="00154391" w:rsidRPr="00C0517B">
              <w:rPr>
                <w:rFonts w:hAnsi="ＭＳ ゴシック" w:hint="eastAsia"/>
                <w:color w:val="000000"/>
                <w:sz w:val="20"/>
                <w:szCs w:val="20"/>
              </w:rPr>
              <w:t>又は</w:t>
            </w: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52" w:type="dxa"/>
            <w:gridSpan w:val="2"/>
            <w:shd w:val="clear" w:color="auto" w:fill="auto"/>
          </w:tcPr>
          <w:p w14:paraId="112F1D35" w14:textId="77777777" w:rsidR="008D59E2" w:rsidRPr="00C0517B" w:rsidRDefault="00E9291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8D59E2" w:rsidRPr="00C0517B">
              <w:rPr>
                <w:rFonts w:hAnsi="ＭＳ ゴシック" w:hint="eastAsia"/>
                <w:color w:val="000000"/>
                <w:sz w:val="20"/>
                <w:szCs w:val="20"/>
              </w:rPr>
              <w:t>各種疾患及び症状における鎮痛</w:t>
            </w:r>
          </w:p>
          <w:p w14:paraId="5780446F" w14:textId="77777777" w:rsidR="008D59E2" w:rsidRPr="00C0517B" w:rsidRDefault="00E9291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8D59E2" w:rsidRPr="00C0517B">
              <w:rPr>
                <w:rFonts w:hAnsi="ＭＳ ゴシック" w:hint="eastAsia"/>
                <w:color w:val="000000"/>
                <w:sz w:val="20"/>
                <w:szCs w:val="20"/>
              </w:rPr>
              <w:t>下記疾患の解熱・鎮痛</w:t>
            </w:r>
          </w:p>
          <w:p w14:paraId="6ECE296B" w14:textId="77777777" w:rsidR="008D59E2" w:rsidRPr="00C0517B" w:rsidRDefault="008D59E2" w:rsidP="008D59E2">
            <w:pPr>
              <w:spacing w:line="28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急性上気道炎（急性気管支炎を伴う急性上気道炎を含む）</w:t>
            </w:r>
          </w:p>
          <w:p w14:paraId="7617D891" w14:textId="77777777" w:rsidR="008D59E2" w:rsidRPr="00C0517B" w:rsidRDefault="00E9291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="008D59E2" w:rsidRPr="00C0517B">
              <w:rPr>
                <w:rFonts w:hAnsi="ＭＳ ゴシック" w:hint="eastAsia"/>
                <w:color w:val="000000"/>
                <w:sz w:val="20"/>
                <w:szCs w:val="20"/>
              </w:rPr>
              <w:t>小児科領域における解熱・鎮痛</w:t>
            </w:r>
          </w:p>
        </w:tc>
      </w:tr>
      <w:tr w:rsidR="008D59E2" w:rsidRPr="00C0517B" w14:paraId="28DF4C6F" w14:textId="77777777" w:rsidTr="00C11BBC">
        <w:trPr>
          <w:trHeight w:val="667"/>
        </w:trPr>
        <w:tc>
          <w:tcPr>
            <w:tcW w:w="1504" w:type="dxa"/>
            <w:shd w:val="clear" w:color="auto" w:fill="auto"/>
          </w:tcPr>
          <w:p w14:paraId="179ECA40" w14:textId="77777777" w:rsidR="008D59E2" w:rsidRPr="00C0517B" w:rsidRDefault="008D59E2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154391" w:rsidRPr="00C0517B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52" w:type="dxa"/>
            <w:gridSpan w:val="2"/>
            <w:shd w:val="clear" w:color="auto" w:fill="auto"/>
          </w:tcPr>
          <w:p w14:paraId="41C1AFA6" w14:textId="77777777" w:rsidR="008D59E2" w:rsidRPr="00C0517B" w:rsidRDefault="008D59E2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&lt;各種疾患及び症状における鎮痛</w:t>
            </w:r>
            <w:r w:rsidRPr="00C0517B">
              <w:rPr>
                <w:rFonts w:hAnsi="ＭＳ ゴシック"/>
                <w:color w:val="000000"/>
                <w:sz w:val="20"/>
                <w:szCs w:val="20"/>
              </w:rPr>
              <w:t>&gt;</w:t>
            </w:r>
          </w:p>
          <w:p w14:paraId="3E7C4833" w14:textId="77777777" w:rsidR="008D59E2" w:rsidRPr="00C0517B" w:rsidRDefault="008D59E2" w:rsidP="008D59E2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通常、成人にはアセトアミノフェンとして、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300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1000m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を経口投与し、投与間隔は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時間以上とする。なお、年齢、症状により適宜増減するが、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日総量として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4000m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を限度とする。また、空腹時の投与は避けさせることが望ましい。</w:t>
            </w:r>
          </w:p>
          <w:p w14:paraId="40EA9EA6" w14:textId="77777777" w:rsidR="008D59E2" w:rsidRPr="00C0517B" w:rsidRDefault="008D59E2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&lt;</w:t>
            </w:r>
            <w:r w:rsidRPr="00C0517B">
              <w:rPr>
                <w:rFonts w:hAnsi="ＭＳ ゴシック"/>
                <w:color w:val="000000"/>
                <w:sz w:val="20"/>
                <w:szCs w:val="20"/>
              </w:rPr>
              <w:t>急性上気道炎（急性気管支炎を伴う急性上気道炎を含む）&gt;</w:t>
            </w:r>
          </w:p>
          <w:p w14:paraId="03D52325" w14:textId="77777777" w:rsidR="008D59E2" w:rsidRPr="00C0517B" w:rsidRDefault="008D59E2" w:rsidP="008D59E2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通常、成人にはアセトアミノフェンとして、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300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500m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を頓用する。なお、年齢、症状により適宜増減する。ただし、原則として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2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回までとし、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日最大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1500m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を限度とする。また、空腹時の投与は避けさせることが望ましい。</w:t>
            </w:r>
          </w:p>
          <w:p w14:paraId="22B1F7F1" w14:textId="77777777" w:rsidR="008D59E2" w:rsidRPr="00C0517B" w:rsidRDefault="008D59E2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&lt;小児科領域における解熱・鎮痛</w:t>
            </w:r>
            <w:r w:rsidRPr="00C0517B">
              <w:rPr>
                <w:rFonts w:hAnsi="ＭＳ ゴシック"/>
                <w:color w:val="000000"/>
                <w:sz w:val="20"/>
                <w:szCs w:val="20"/>
              </w:rPr>
              <w:t>&gt;</w:t>
            </w:r>
          </w:p>
          <w:p w14:paraId="2081A68E" w14:textId="77777777" w:rsidR="008D59E2" w:rsidRPr="00C0517B" w:rsidRDefault="008D59E2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通常、乳児、幼児及び小児にはアセトアミノフェンとして、体重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1k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ShinGoPro-Light" w:hint="eastAsia"/>
                <w:color w:val="000000"/>
                <w:kern w:val="0"/>
                <w:sz w:val="20"/>
                <w:szCs w:val="20"/>
              </w:rPr>
              <w:t>あたり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ShinGoPro-Light" w:hint="eastAsia"/>
                <w:color w:val="000000"/>
                <w:kern w:val="0"/>
                <w:sz w:val="20"/>
                <w:szCs w:val="20"/>
              </w:rPr>
              <w:t>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10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15m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を経口投与し、投与間隔は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4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～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時間以上とする。なお、年齢、症状により適宜増減するが、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1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日総量として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60m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g/</w:t>
            </w:r>
            <w:r w:rsidRPr="00C0517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k</w:t>
            </w:r>
            <w:r w:rsidRPr="00C0517B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Pr="00C0517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を限度とする。ただし、成人の用量を超えない。また、空腹時の投与は避けさせることが望ましい。</w:t>
            </w:r>
          </w:p>
        </w:tc>
      </w:tr>
      <w:tr w:rsidR="00D62F86" w:rsidRPr="00C0517B" w14:paraId="294A4071" w14:textId="77777777" w:rsidTr="008D59E2">
        <w:tc>
          <w:tcPr>
            <w:tcW w:w="1504" w:type="dxa"/>
            <w:shd w:val="clear" w:color="auto" w:fill="auto"/>
          </w:tcPr>
          <w:p w14:paraId="198416AB" w14:textId="77777777" w:rsidR="00D62F86" w:rsidRPr="00C0517B" w:rsidRDefault="00D62F86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154391" w:rsidRPr="00C0517B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76" w:type="dxa"/>
            <w:shd w:val="clear" w:color="auto" w:fill="auto"/>
          </w:tcPr>
          <w:p w14:paraId="7B665783" w14:textId="77777777" w:rsidR="00D62F86" w:rsidRPr="00C0517B" w:rsidRDefault="00D62F8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/>
                <w:color w:val="000000"/>
                <w:sz w:val="20"/>
                <w:szCs w:val="20"/>
              </w:rPr>
              <w:t>D-マンニトール、ポビドン、サッカリン</w:t>
            </w:r>
            <w:r w:rsidR="00066953" w:rsidRPr="00C0517B">
              <w:rPr>
                <w:rFonts w:hAnsi="ＭＳ ゴシック" w:hint="eastAsia"/>
                <w:color w:val="000000"/>
                <w:sz w:val="20"/>
                <w:szCs w:val="20"/>
              </w:rPr>
              <w:t>Na</w:t>
            </w:r>
            <w:r w:rsidR="00D551EF" w:rsidRPr="00C0517B">
              <w:rPr>
                <w:rFonts w:hAnsi="ＭＳ ゴシック" w:hint="eastAsia"/>
                <w:color w:val="000000"/>
                <w:sz w:val="20"/>
                <w:szCs w:val="20"/>
              </w:rPr>
              <w:t>水和物</w:t>
            </w:r>
            <w:r w:rsidRPr="00C0517B">
              <w:rPr>
                <w:rFonts w:hAnsi="ＭＳ ゴシック"/>
                <w:color w:val="000000"/>
                <w:sz w:val="20"/>
                <w:szCs w:val="20"/>
              </w:rPr>
              <w:t>、アスパルテーム（L-フェニルアラニン化合物）、黄色5号、無水ケイ酸、香料</w:t>
            </w:r>
            <w:r w:rsidR="00743328" w:rsidRPr="00C0517B">
              <w:rPr>
                <w:rFonts w:hAnsi="ＭＳ ゴシック" w:hint="eastAsia"/>
                <w:color w:val="000000"/>
                <w:sz w:val="20"/>
                <w:szCs w:val="20"/>
              </w:rPr>
              <w:t>、</w:t>
            </w:r>
            <w:r w:rsidR="00D551EF" w:rsidRPr="00C0517B">
              <w:rPr>
                <w:rFonts w:hAnsi="ＭＳ ゴシック" w:hint="eastAsia"/>
                <w:color w:val="000000"/>
                <w:sz w:val="20"/>
                <w:szCs w:val="20"/>
              </w:rPr>
              <w:t>香料本体に乳糖水和物</w:t>
            </w:r>
            <w:r w:rsidR="004D1812" w:rsidRPr="00C0517B">
              <w:rPr>
                <w:rFonts w:hAnsi="ＭＳ ゴシック" w:hint="eastAsia"/>
                <w:color w:val="000000"/>
                <w:sz w:val="20"/>
                <w:szCs w:val="20"/>
              </w:rPr>
              <w:t>及びデキストリン</w:t>
            </w:r>
          </w:p>
        </w:tc>
        <w:tc>
          <w:tcPr>
            <w:tcW w:w="4476" w:type="dxa"/>
            <w:shd w:val="clear" w:color="auto" w:fill="auto"/>
          </w:tcPr>
          <w:p w14:paraId="2038420A" w14:textId="5C2689EF" w:rsidR="00D62F86" w:rsidRPr="00C0517B" w:rsidRDefault="00D62F8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DC38C2" w:rsidRPr="00C0517B" w14:paraId="432DD7D4" w14:textId="77777777" w:rsidTr="008D59E2">
        <w:trPr>
          <w:trHeight w:val="70"/>
        </w:trPr>
        <w:tc>
          <w:tcPr>
            <w:tcW w:w="1504" w:type="dxa"/>
            <w:shd w:val="clear" w:color="auto" w:fill="auto"/>
          </w:tcPr>
          <w:p w14:paraId="2096FB7B" w14:textId="77777777" w:rsidR="00DC38C2" w:rsidRPr="00C0517B" w:rsidRDefault="00DC38C2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476" w:type="dxa"/>
            <w:shd w:val="clear" w:color="auto" w:fill="auto"/>
          </w:tcPr>
          <w:p w14:paraId="5B3A5BA6" w14:textId="77777777" w:rsidR="00DC38C2" w:rsidRPr="00C0517B" w:rsidRDefault="00E247E0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/>
                <w:color w:val="000000"/>
                <w:sz w:val="20"/>
                <w:szCs w:val="20"/>
              </w:rPr>
              <w:t>だいだい色の粉末で、わずかにオレンジようのにおいがあり、味は甘い</w:t>
            </w:r>
            <w:r w:rsidR="00743328" w:rsidRPr="00C0517B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</w:p>
          <w:p w14:paraId="68DAD175" w14:textId="77777777" w:rsidR="00E247E0" w:rsidRPr="00C0517B" w:rsidRDefault="00E247E0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76" w:type="dxa"/>
            <w:shd w:val="clear" w:color="auto" w:fill="auto"/>
          </w:tcPr>
          <w:p w14:paraId="5E7FF8D1" w14:textId="77777777" w:rsidR="001847BB" w:rsidRDefault="001847BB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F76CD5D" w14:textId="77777777" w:rsidR="00483569" w:rsidRDefault="00483569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A27C7DD" w14:textId="77777777" w:rsidR="00483569" w:rsidRDefault="00483569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C3FB5CA" w14:textId="4BB1416D" w:rsidR="00483569" w:rsidRPr="00C0517B" w:rsidRDefault="00483569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066953" w:rsidRPr="00C0517B" w14:paraId="6B8998B2" w14:textId="77777777" w:rsidTr="008D59E2">
        <w:trPr>
          <w:trHeight w:val="4030"/>
        </w:trPr>
        <w:tc>
          <w:tcPr>
            <w:tcW w:w="1504" w:type="dxa"/>
            <w:shd w:val="clear" w:color="auto" w:fill="auto"/>
          </w:tcPr>
          <w:p w14:paraId="50BDCADD" w14:textId="77777777" w:rsidR="00066953" w:rsidRPr="00C0517B" w:rsidRDefault="00066953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1C1C5AE0" w14:textId="77777777" w:rsidR="00066953" w:rsidRPr="00C0517B" w:rsidRDefault="00066953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52" w:type="dxa"/>
            <w:gridSpan w:val="2"/>
            <w:shd w:val="clear" w:color="auto" w:fill="auto"/>
          </w:tcPr>
          <w:p w14:paraId="06D70E02" w14:textId="77777777" w:rsidR="00066953" w:rsidRPr="00C0517B" w:rsidRDefault="005B1A63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アセトアミノフェンDS40%「三和」</w:t>
            </w:r>
            <w:r w:rsidR="00066953" w:rsidRPr="00C0517B">
              <w:rPr>
                <w:rFonts w:hAnsi="ＭＳ ゴシック"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034112E9" w14:textId="77777777" w:rsidR="00066953" w:rsidRPr="00C0517B" w:rsidRDefault="00066953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27F2040" w14:textId="77777777" w:rsidR="00066953" w:rsidRPr="00C0517B" w:rsidRDefault="00066953" w:rsidP="008D59E2">
            <w:pPr>
              <w:tabs>
                <w:tab w:val="left" w:pos="4282"/>
              </w:tabs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9E74D9" w:rsidRPr="00C0517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　</w:t>
            </w: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溶出試験（試験液</w:t>
            </w:r>
            <w:r w:rsidR="000A0E62" w:rsidRPr="00C0517B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 xml:space="preserve">水）　　　　　　　　　</w:t>
            </w:r>
            <w:r w:rsidR="009E74D9" w:rsidRPr="00C0517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2052C85" w14:textId="3940BDA9" w:rsidR="00066953" w:rsidRPr="00C0517B" w:rsidRDefault="00F00E49" w:rsidP="00E778AF">
            <w:pPr>
              <w:spacing w:line="0" w:lineRule="atLeast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D7AD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138pt">
                  <v:imagedata r:id="rId7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1A25DA9F">
                <v:shape id="_x0000_i1028" type="#_x0000_t75" style="width:214.5pt;height:144.75pt">
                  <v:imagedata r:id="rId8" o:title=""/>
                </v:shape>
              </w:pict>
            </w:r>
          </w:p>
        </w:tc>
      </w:tr>
      <w:tr w:rsidR="00D62F86" w:rsidRPr="00C0517B" w14:paraId="0ADE6D1F" w14:textId="77777777" w:rsidTr="008D59E2">
        <w:tc>
          <w:tcPr>
            <w:tcW w:w="1504" w:type="dxa"/>
            <w:shd w:val="clear" w:color="auto" w:fill="auto"/>
          </w:tcPr>
          <w:p w14:paraId="18B3CF37" w14:textId="77777777" w:rsidR="00D62F86" w:rsidRPr="00C0517B" w:rsidRDefault="00D62F86" w:rsidP="008D59E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52" w:type="dxa"/>
            <w:gridSpan w:val="2"/>
            <w:shd w:val="clear" w:color="auto" w:fill="auto"/>
          </w:tcPr>
          <w:p w14:paraId="45212FD8" w14:textId="77777777" w:rsidR="0097727F" w:rsidRPr="00C0517B" w:rsidRDefault="0097727F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5355A85" w14:textId="77777777" w:rsidR="008414B6" w:rsidRPr="00C0517B" w:rsidRDefault="008414B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D62F86" w:rsidRPr="00C0517B" w14:paraId="1AC9BF27" w14:textId="77777777" w:rsidTr="008D59E2">
        <w:tc>
          <w:tcPr>
            <w:tcW w:w="1504" w:type="dxa"/>
            <w:shd w:val="clear" w:color="auto" w:fill="auto"/>
          </w:tcPr>
          <w:p w14:paraId="120CF8B5" w14:textId="77777777" w:rsidR="00D62F86" w:rsidRPr="00C0517B" w:rsidRDefault="00D62F86" w:rsidP="008D59E2">
            <w:pPr>
              <w:spacing w:line="280" w:lineRule="exact"/>
              <w:ind w:leftChars="-15" w:left="-31" w:rightChars="-15" w:right="-31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0517B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52" w:type="dxa"/>
            <w:gridSpan w:val="2"/>
            <w:shd w:val="clear" w:color="auto" w:fill="auto"/>
          </w:tcPr>
          <w:p w14:paraId="16AE054F" w14:textId="77777777" w:rsidR="00D62F86" w:rsidRPr="00C0517B" w:rsidRDefault="00D62F8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D0E5B1A" w14:textId="77777777" w:rsidR="008414B6" w:rsidRPr="00C0517B" w:rsidRDefault="008414B6" w:rsidP="008D59E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48B6F251" w14:textId="77777777" w:rsidR="0066681C" w:rsidRPr="00C0517B" w:rsidRDefault="0066681C" w:rsidP="00D551EF">
      <w:pPr>
        <w:rPr>
          <w:color w:val="000000"/>
        </w:rPr>
      </w:pPr>
    </w:p>
    <w:sectPr w:rsidR="0066681C" w:rsidRPr="00C0517B" w:rsidSect="00743328">
      <w:pgSz w:w="11906" w:h="16838" w:code="9"/>
      <w:pgMar w:top="1134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A51E" w14:textId="77777777" w:rsidR="00A148C1" w:rsidRDefault="00A148C1" w:rsidP="008414B6">
      <w:r>
        <w:separator/>
      </w:r>
    </w:p>
  </w:endnote>
  <w:endnote w:type="continuationSeparator" w:id="0">
    <w:p w14:paraId="15A19081" w14:textId="77777777" w:rsidR="00A148C1" w:rsidRDefault="00A148C1" w:rsidP="0084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26C2" w14:textId="77777777" w:rsidR="00A148C1" w:rsidRDefault="00A148C1" w:rsidP="008414B6">
      <w:r>
        <w:separator/>
      </w:r>
    </w:p>
  </w:footnote>
  <w:footnote w:type="continuationSeparator" w:id="0">
    <w:p w14:paraId="7AB0DE2C" w14:textId="77777777" w:rsidR="00A148C1" w:rsidRDefault="00A148C1" w:rsidP="0084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E91376"/>
    <w:multiLevelType w:val="hybridMultilevel"/>
    <w:tmpl w:val="B79ED11C"/>
    <w:lvl w:ilvl="0" w:tplc="2C225814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ＭＳ ゴシック" w:eastAsia="ＭＳ 明朝" w:hAnsi="ＭＳ ゴシック"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0D1D60"/>
    <w:multiLevelType w:val="hybridMultilevel"/>
    <w:tmpl w:val="20B2CF86"/>
    <w:lvl w:ilvl="0" w:tplc="9F46AE5E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  <w:rPr>
        <w:rFonts w:ascii="ＭＳ ゴシック" w:eastAsia="ＭＳ 明朝" w:hAnsi="ＭＳ ゴシック" w:hint="eastAsia"/>
        <w:b w:val="0"/>
        <w:i w:val="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1882968">
    <w:abstractNumId w:val="1"/>
  </w:num>
  <w:num w:numId="2" w16cid:durableId="1374038764">
    <w:abstractNumId w:val="0"/>
  </w:num>
  <w:num w:numId="3" w16cid:durableId="1825122299">
    <w:abstractNumId w:val="2"/>
  </w:num>
  <w:num w:numId="4" w16cid:durableId="1515893">
    <w:abstractNumId w:val="4"/>
  </w:num>
  <w:num w:numId="5" w16cid:durableId="889414554">
    <w:abstractNumId w:val="5"/>
  </w:num>
  <w:num w:numId="6" w16cid:durableId="1414858661">
    <w:abstractNumId w:val="7"/>
  </w:num>
  <w:num w:numId="7" w16cid:durableId="1861163410">
    <w:abstractNumId w:val="3"/>
  </w:num>
  <w:num w:numId="8" w16cid:durableId="560211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F92"/>
    <w:rsid w:val="00006D33"/>
    <w:rsid w:val="0002574C"/>
    <w:rsid w:val="00052F46"/>
    <w:rsid w:val="000563D6"/>
    <w:rsid w:val="00061A85"/>
    <w:rsid w:val="00065285"/>
    <w:rsid w:val="00066953"/>
    <w:rsid w:val="00067CDA"/>
    <w:rsid w:val="000747A8"/>
    <w:rsid w:val="00081CA7"/>
    <w:rsid w:val="000A0E62"/>
    <w:rsid w:val="000A40BA"/>
    <w:rsid w:val="000A646D"/>
    <w:rsid w:val="000B3DF8"/>
    <w:rsid w:val="000C3341"/>
    <w:rsid w:val="000D3791"/>
    <w:rsid w:val="001244FE"/>
    <w:rsid w:val="001254EE"/>
    <w:rsid w:val="001259FB"/>
    <w:rsid w:val="00127DEA"/>
    <w:rsid w:val="00141104"/>
    <w:rsid w:val="00141349"/>
    <w:rsid w:val="00154391"/>
    <w:rsid w:val="001847BB"/>
    <w:rsid w:val="001A201B"/>
    <w:rsid w:val="001C1B31"/>
    <w:rsid w:val="001D2F41"/>
    <w:rsid w:val="001D7C3B"/>
    <w:rsid w:val="002235DA"/>
    <w:rsid w:val="00233374"/>
    <w:rsid w:val="002408C9"/>
    <w:rsid w:val="00242D21"/>
    <w:rsid w:val="00253839"/>
    <w:rsid w:val="00254980"/>
    <w:rsid w:val="00254DDB"/>
    <w:rsid w:val="00255730"/>
    <w:rsid w:val="002827BA"/>
    <w:rsid w:val="002B78DC"/>
    <w:rsid w:val="002C0CD2"/>
    <w:rsid w:val="002C23CC"/>
    <w:rsid w:val="002D71B7"/>
    <w:rsid w:val="002F678B"/>
    <w:rsid w:val="00333F00"/>
    <w:rsid w:val="00336F79"/>
    <w:rsid w:val="003438C7"/>
    <w:rsid w:val="00345C48"/>
    <w:rsid w:val="00353A65"/>
    <w:rsid w:val="00371299"/>
    <w:rsid w:val="00374A38"/>
    <w:rsid w:val="003C0E35"/>
    <w:rsid w:val="003D4AE9"/>
    <w:rsid w:val="003E6E56"/>
    <w:rsid w:val="003F25ED"/>
    <w:rsid w:val="003F392F"/>
    <w:rsid w:val="00407787"/>
    <w:rsid w:val="00421EAF"/>
    <w:rsid w:val="004275A7"/>
    <w:rsid w:val="00452D7E"/>
    <w:rsid w:val="00456D30"/>
    <w:rsid w:val="00462080"/>
    <w:rsid w:val="00483569"/>
    <w:rsid w:val="00485088"/>
    <w:rsid w:val="00492B06"/>
    <w:rsid w:val="00493D4C"/>
    <w:rsid w:val="004A7134"/>
    <w:rsid w:val="004B2266"/>
    <w:rsid w:val="004C1C48"/>
    <w:rsid w:val="004C48F3"/>
    <w:rsid w:val="004D1812"/>
    <w:rsid w:val="004D4F64"/>
    <w:rsid w:val="004F43D3"/>
    <w:rsid w:val="004F7F15"/>
    <w:rsid w:val="00516030"/>
    <w:rsid w:val="005176BA"/>
    <w:rsid w:val="00531A91"/>
    <w:rsid w:val="005425F9"/>
    <w:rsid w:val="005465C9"/>
    <w:rsid w:val="00560B32"/>
    <w:rsid w:val="005734CE"/>
    <w:rsid w:val="005B1A63"/>
    <w:rsid w:val="005C098C"/>
    <w:rsid w:val="005C56F2"/>
    <w:rsid w:val="005D3F72"/>
    <w:rsid w:val="005E1679"/>
    <w:rsid w:val="005E2479"/>
    <w:rsid w:val="005E7871"/>
    <w:rsid w:val="005F675E"/>
    <w:rsid w:val="00652C8E"/>
    <w:rsid w:val="00652DCB"/>
    <w:rsid w:val="00662EE8"/>
    <w:rsid w:val="0066681C"/>
    <w:rsid w:val="006821E7"/>
    <w:rsid w:val="006C6ECC"/>
    <w:rsid w:val="006C73B2"/>
    <w:rsid w:val="006F21CC"/>
    <w:rsid w:val="00722AF6"/>
    <w:rsid w:val="00733988"/>
    <w:rsid w:val="00733E94"/>
    <w:rsid w:val="007426CE"/>
    <w:rsid w:val="00743328"/>
    <w:rsid w:val="0076084C"/>
    <w:rsid w:val="00760F4A"/>
    <w:rsid w:val="00761494"/>
    <w:rsid w:val="00784EED"/>
    <w:rsid w:val="007964DC"/>
    <w:rsid w:val="007B193D"/>
    <w:rsid w:val="007B1BFE"/>
    <w:rsid w:val="007B7761"/>
    <w:rsid w:val="007E66B4"/>
    <w:rsid w:val="007F731B"/>
    <w:rsid w:val="008045D1"/>
    <w:rsid w:val="0080739F"/>
    <w:rsid w:val="00815275"/>
    <w:rsid w:val="0082793A"/>
    <w:rsid w:val="008323CD"/>
    <w:rsid w:val="008414B6"/>
    <w:rsid w:val="008525C0"/>
    <w:rsid w:val="00857FFC"/>
    <w:rsid w:val="00891D63"/>
    <w:rsid w:val="008A52FD"/>
    <w:rsid w:val="008B4864"/>
    <w:rsid w:val="008B622F"/>
    <w:rsid w:val="008D59E2"/>
    <w:rsid w:val="008D7323"/>
    <w:rsid w:val="008E2594"/>
    <w:rsid w:val="00906CB2"/>
    <w:rsid w:val="0092744C"/>
    <w:rsid w:val="00934A52"/>
    <w:rsid w:val="009404E4"/>
    <w:rsid w:val="00952435"/>
    <w:rsid w:val="009563ED"/>
    <w:rsid w:val="00961D67"/>
    <w:rsid w:val="00963E45"/>
    <w:rsid w:val="00966001"/>
    <w:rsid w:val="0097727F"/>
    <w:rsid w:val="00994365"/>
    <w:rsid w:val="009B0FF9"/>
    <w:rsid w:val="009B778E"/>
    <w:rsid w:val="009C291E"/>
    <w:rsid w:val="009D0BBD"/>
    <w:rsid w:val="009D6349"/>
    <w:rsid w:val="009D6F53"/>
    <w:rsid w:val="009E1EF0"/>
    <w:rsid w:val="009E41F6"/>
    <w:rsid w:val="009E74D9"/>
    <w:rsid w:val="00A03E25"/>
    <w:rsid w:val="00A102BF"/>
    <w:rsid w:val="00A148C1"/>
    <w:rsid w:val="00A1692F"/>
    <w:rsid w:val="00A819EB"/>
    <w:rsid w:val="00A833EA"/>
    <w:rsid w:val="00A85ABB"/>
    <w:rsid w:val="00AA47A8"/>
    <w:rsid w:val="00AC10C7"/>
    <w:rsid w:val="00B11971"/>
    <w:rsid w:val="00B13198"/>
    <w:rsid w:val="00B2391D"/>
    <w:rsid w:val="00B4034A"/>
    <w:rsid w:val="00B55372"/>
    <w:rsid w:val="00B64CBB"/>
    <w:rsid w:val="00B65E60"/>
    <w:rsid w:val="00BA0926"/>
    <w:rsid w:val="00BC3BB7"/>
    <w:rsid w:val="00BC6136"/>
    <w:rsid w:val="00BD042B"/>
    <w:rsid w:val="00BD1EF2"/>
    <w:rsid w:val="00BD69F6"/>
    <w:rsid w:val="00C0517B"/>
    <w:rsid w:val="00C064AA"/>
    <w:rsid w:val="00C06615"/>
    <w:rsid w:val="00C11024"/>
    <w:rsid w:val="00C11BBC"/>
    <w:rsid w:val="00C16CAF"/>
    <w:rsid w:val="00C21160"/>
    <w:rsid w:val="00C24625"/>
    <w:rsid w:val="00C2643E"/>
    <w:rsid w:val="00C33543"/>
    <w:rsid w:val="00C3608D"/>
    <w:rsid w:val="00C4611D"/>
    <w:rsid w:val="00C506A9"/>
    <w:rsid w:val="00C56BD8"/>
    <w:rsid w:val="00C7154F"/>
    <w:rsid w:val="00C75572"/>
    <w:rsid w:val="00C9206C"/>
    <w:rsid w:val="00CC1D1B"/>
    <w:rsid w:val="00CC4C5F"/>
    <w:rsid w:val="00CC7AD4"/>
    <w:rsid w:val="00D02658"/>
    <w:rsid w:val="00D0577D"/>
    <w:rsid w:val="00D551EF"/>
    <w:rsid w:val="00D62F86"/>
    <w:rsid w:val="00D70A22"/>
    <w:rsid w:val="00D82643"/>
    <w:rsid w:val="00D97AA5"/>
    <w:rsid w:val="00DA6AE6"/>
    <w:rsid w:val="00DC38C2"/>
    <w:rsid w:val="00DD5DE0"/>
    <w:rsid w:val="00DE70CD"/>
    <w:rsid w:val="00DF1224"/>
    <w:rsid w:val="00E10997"/>
    <w:rsid w:val="00E129DA"/>
    <w:rsid w:val="00E21AF8"/>
    <w:rsid w:val="00E247E0"/>
    <w:rsid w:val="00E4523E"/>
    <w:rsid w:val="00E454C3"/>
    <w:rsid w:val="00E46BF9"/>
    <w:rsid w:val="00E778AF"/>
    <w:rsid w:val="00E86B1A"/>
    <w:rsid w:val="00E92916"/>
    <w:rsid w:val="00E972A2"/>
    <w:rsid w:val="00EB2F36"/>
    <w:rsid w:val="00EC3CE9"/>
    <w:rsid w:val="00ED282A"/>
    <w:rsid w:val="00EE34FB"/>
    <w:rsid w:val="00EE408C"/>
    <w:rsid w:val="00F00E49"/>
    <w:rsid w:val="00F15437"/>
    <w:rsid w:val="00F307FB"/>
    <w:rsid w:val="00F353A5"/>
    <w:rsid w:val="00F3549D"/>
    <w:rsid w:val="00F36D75"/>
    <w:rsid w:val="00F4321C"/>
    <w:rsid w:val="00F63482"/>
    <w:rsid w:val="00F65284"/>
    <w:rsid w:val="00F67716"/>
    <w:rsid w:val="00F705F6"/>
    <w:rsid w:val="00FD0266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74F3316"/>
  <w15:chartTrackingRefBased/>
  <w15:docId w15:val="{BB7A25A9-745B-4AA4-B39A-C231C51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9E2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14B6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1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14B6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154391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0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9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8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SKK</cp:lastModifiedBy>
  <cp:revision>7</cp:revision>
  <cp:lastPrinted>2004-03-01T05:35:00Z</cp:lastPrinted>
  <dcterms:created xsi:type="dcterms:W3CDTF">2025-03-17T08:01:00Z</dcterms:created>
  <dcterms:modified xsi:type="dcterms:W3CDTF">2025-03-24T08:40:00Z</dcterms:modified>
</cp:coreProperties>
</file>